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160A" w:rsidRPr="00467222" w:rsidRDefault="00A6160A" w:rsidP="00A6160A">
      <w:pPr>
        <w:rPr>
          <w:b/>
          <w:bCs/>
          <w:sz w:val="23"/>
          <w:szCs w:val="23"/>
        </w:rPr>
      </w:pPr>
      <w:r w:rsidRPr="00467222">
        <w:rPr>
          <w:b/>
          <w:bCs/>
          <w:sz w:val="23"/>
          <w:szCs w:val="23"/>
        </w:rPr>
        <w:t>Possible questio</w:t>
      </w:r>
      <w:r>
        <w:rPr>
          <w:b/>
          <w:bCs/>
          <w:sz w:val="23"/>
          <w:szCs w:val="23"/>
        </w:rPr>
        <w:t xml:space="preserve">n: European Banks </w:t>
      </w:r>
      <w:r w:rsidRPr="00467222">
        <w:rPr>
          <w:b/>
          <w:bCs/>
          <w:sz w:val="23"/>
          <w:szCs w:val="23"/>
        </w:rPr>
        <w:t xml:space="preserve">competition </w:t>
      </w:r>
      <w:r>
        <w:rPr>
          <w:b/>
          <w:bCs/>
          <w:sz w:val="23"/>
          <w:szCs w:val="23"/>
        </w:rPr>
        <w:t>and liquidity creation.</w:t>
      </w:r>
    </w:p>
    <w:p w:rsidR="00A6160A" w:rsidRDefault="00A6160A" w:rsidP="00A6160A">
      <w:pPr>
        <w:rPr>
          <w:sz w:val="23"/>
          <w:szCs w:val="23"/>
        </w:rPr>
      </w:pPr>
    </w:p>
    <w:p w:rsidR="00A6160A" w:rsidRDefault="00A6160A" w:rsidP="00A6160A">
      <w:pPr>
        <w:rPr>
          <w:sz w:val="23"/>
          <w:szCs w:val="23"/>
        </w:rPr>
      </w:pPr>
      <w:r w:rsidRPr="00D3222D">
        <w:rPr>
          <w:color w:val="FF0000"/>
        </w:rPr>
        <w:t>HOW TO MEASURE BANK COMPETITION</w:t>
      </w:r>
      <w:r>
        <w:t xml:space="preserve">: The most widely and popular tool used for the estimation of bank market power is the Lerner (1934) index. The main reasons for its popularity are its simplicity, its straightforward interpretation, and the fact that it does not pose stringent data requirements. The Lerner index shows the ability of an individual </w:t>
      </w:r>
      <w:r>
        <w:rPr>
          <w:sz w:val="23"/>
          <w:szCs w:val="23"/>
        </w:rPr>
        <w:t>bank to charge a price above marginal cost. Formally, it is defined as</w:t>
      </w:r>
    </w:p>
    <w:p w:rsidR="00A6160A" w:rsidRDefault="00A6160A" w:rsidP="00A6160A"/>
    <w:p w:rsidR="00A6160A" w:rsidRPr="00DB4818" w:rsidRDefault="00A6160A" w:rsidP="00A6160A">
      <w:pPr>
        <w:rPr>
          <w:u w:val="single"/>
        </w:rPr>
      </w:pPr>
      <w:r w:rsidRPr="00DB4818">
        <w:rPr>
          <w:u w:val="single"/>
        </w:rPr>
        <w:t>Introduction</w:t>
      </w:r>
    </w:p>
    <w:p w:rsidR="00A6160A" w:rsidRDefault="00A6160A" w:rsidP="00A6160A"/>
    <w:p w:rsidR="00A6160A" w:rsidRDefault="00A6160A" w:rsidP="00A6160A"/>
    <w:p w:rsidR="00A6160A" w:rsidRPr="00A6160A" w:rsidRDefault="00A6160A" w:rsidP="00A6160A">
      <w:pPr>
        <w:rPr>
          <w:rFonts w:ascii="Times New Roman" w:hAnsi="Times New Roman" w:cs="Times New Roman"/>
          <w:b/>
          <w:bCs/>
          <w:sz w:val="24"/>
          <w:szCs w:val="24"/>
          <w:u w:val="single"/>
        </w:rPr>
      </w:pPr>
      <w:r w:rsidRPr="00A6160A">
        <w:rPr>
          <w:rFonts w:ascii="Times New Roman" w:hAnsi="Times New Roman" w:cs="Times New Roman"/>
          <w:b/>
          <w:bCs/>
          <w:sz w:val="24"/>
          <w:szCs w:val="24"/>
          <w:u w:val="single"/>
        </w:rPr>
        <w:t xml:space="preserve">Literature review </w:t>
      </w:r>
    </w:p>
    <w:p w:rsidR="00A6160A" w:rsidRPr="00A6160A" w:rsidRDefault="00A6160A" w:rsidP="00A6160A">
      <w:pPr>
        <w:ind w:firstLine="720"/>
        <w:rPr>
          <w:rFonts w:ascii="Times New Roman" w:hAnsi="Times New Roman" w:cs="Times New Roman"/>
          <w:sz w:val="24"/>
          <w:szCs w:val="24"/>
        </w:rPr>
      </w:pPr>
      <w:r w:rsidRPr="00A6160A">
        <w:rPr>
          <w:rFonts w:ascii="Times New Roman" w:hAnsi="Times New Roman" w:cs="Times New Roman"/>
          <w:sz w:val="24"/>
          <w:szCs w:val="24"/>
        </w:rPr>
        <w:t xml:space="preserve">In this section, I illustrate a review of literature to position my article in perspective.  The research is related to three key current components of literature; the estimation of competition; the measurement of bank liquidity creation; and the relationship between competition in banking and liquidity creation. I discuss these below. </w:t>
      </w:r>
    </w:p>
    <w:p w:rsidR="00A6160A" w:rsidRPr="00A6160A" w:rsidRDefault="00A6160A" w:rsidP="00A6160A">
      <w:pPr>
        <w:rPr>
          <w:rFonts w:ascii="Times New Roman" w:hAnsi="Times New Roman" w:cs="Times New Roman"/>
          <w:b/>
          <w:bCs/>
          <w:sz w:val="24"/>
          <w:szCs w:val="24"/>
          <w:u w:val="single"/>
        </w:rPr>
      </w:pPr>
      <w:r w:rsidRPr="00A6160A">
        <w:rPr>
          <w:rFonts w:ascii="Times New Roman" w:hAnsi="Times New Roman" w:cs="Times New Roman"/>
          <w:b/>
          <w:bCs/>
          <w:sz w:val="24"/>
          <w:szCs w:val="24"/>
          <w:u w:val="single"/>
        </w:rPr>
        <w:t xml:space="preserve">Competition in Banking </w:t>
      </w:r>
    </w:p>
    <w:p w:rsidR="00A6160A" w:rsidRPr="00A6160A" w:rsidRDefault="00A6160A" w:rsidP="00A6160A">
      <w:pPr>
        <w:rPr>
          <w:rFonts w:ascii="Times New Roman" w:hAnsi="Times New Roman" w:cs="Times New Roman"/>
          <w:sz w:val="24"/>
          <w:szCs w:val="24"/>
        </w:rPr>
      </w:pPr>
      <w:r w:rsidRPr="00A6160A">
        <w:rPr>
          <w:rFonts w:ascii="Times New Roman" w:hAnsi="Times New Roman" w:cs="Times New Roman"/>
          <w:sz w:val="24"/>
          <w:szCs w:val="24"/>
        </w:rPr>
        <w:tab/>
        <w:t>Most of the competition literature has been concentrated on the relationship between, financial stability, and banks risk- taking conduct. However, academics have obtained varied results even though both empirically and theoretically research has proven that there is a key interaction between competition and stability (Berger et al 2009). Researchers have shown that intensification of competition has led banks to increase their level of risk taking, while others argue greater competition and financial stability have a positive association.</w:t>
      </w:r>
    </w:p>
    <w:p w:rsidR="00A6160A" w:rsidRPr="00A6160A" w:rsidRDefault="00A6160A" w:rsidP="00A6160A">
      <w:pPr>
        <w:ind w:firstLine="720"/>
        <w:rPr>
          <w:rFonts w:ascii="Times New Roman" w:hAnsi="Times New Roman" w:cs="Times New Roman"/>
          <w:sz w:val="24"/>
          <w:szCs w:val="24"/>
        </w:rPr>
      </w:pPr>
      <w:r w:rsidRPr="00A6160A">
        <w:rPr>
          <w:rFonts w:ascii="Times New Roman" w:hAnsi="Times New Roman" w:cs="Times New Roman"/>
          <w:sz w:val="24"/>
          <w:szCs w:val="24"/>
        </w:rPr>
        <w:t xml:space="preserve">Literature based on the ‘competition fragile view find that competition hinders banks charter value, and in turn their need to act cautiously. This view is based on the notion that profit margins can protect banks against loan losses and give banks an incentive to choose less risky investments (Hellman et al, 2000; Lopez and </w:t>
      </w:r>
      <w:proofErr w:type="spellStart"/>
      <w:r w:rsidRPr="00A6160A">
        <w:rPr>
          <w:rFonts w:ascii="Times New Roman" w:hAnsi="Times New Roman" w:cs="Times New Roman"/>
          <w:sz w:val="24"/>
          <w:szCs w:val="24"/>
        </w:rPr>
        <w:t>Saurina</w:t>
      </w:r>
      <w:proofErr w:type="spellEnd"/>
      <w:r w:rsidRPr="00A6160A">
        <w:rPr>
          <w:rFonts w:ascii="Times New Roman" w:hAnsi="Times New Roman" w:cs="Times New Roman"/>
          <w:sz w:val="24"/>
          <w:szCs w:val="24"/>
        </w:rPr>
        <w:t xml:space="preserve">, 2010). The issue is that a lower profit due to competition encourages banks to take excessive risk and moral hazard, in order for the bank to raise returns from performing loans (Keely, 1990). For example, Allen and Gale (2000) find that increase in banking competition for funding diminishes market power, which in turn decreases net present value of profits by making deposits more expensive. Consequently, banks increase their level of risk taking to acquire the same level of profit margins that leads to increased fragility (Allen &amp; Gale, 2000; Berger et al 2009).  </w:t>
      </w:r>
    </w:p>
    <w:p w:rsidR="00A6160A" w:rsidRPr="00A6160A" w:rsidRDefault="00A6160A" w:rsidP="00A6160A">
      <w:pPr>
        <w:ind w:firstLine="720"/>
        <w:rPr>
          <w:rFonts w:ascii="Times New Roman" w:hAnsi="Times New Roman" w:cs="Times New Roman"/>
          <w:sz w:val="24"/>
          <w:szCs w:val="24"/>
        </w:rPr>
      </w:pPr>
      <w:r w:rsidRPr="00A6160A">
        <w:rPr>
          <w:rFonts w:ascii="Times New Roman" w:hAnsi="Times New Roman" w:cs="Times New Roman"/>
          <w:sz w:val="24"/>
          <w:szCs w:val="24"/>
        </w:rPr>
        <w:t xml:space="preserve">Conversely, estimating competition in banking and has been comprehensively influenced by the New Empirical Industrial Organization (NEIO) literature referred to as the ‘competition stability’ view. The ‘competition stability’ view debates that less competition </w:t>
      </w:r>
      <w:r w:rsidRPr="00A6160A">
        <w:rPr>
          <w:rFonts w:ascii="Times New Roman" w:hAnsi="Times New Roman" w:cs="Times New Roman"/>
          <w:sz w:val="24"/>
          <w:szCs w:val="24"/>
        </w:rPr>
        <w:lastRenderedPageBreak/>
        <w:t xml:space="preserve">leads to increased fragility for banks, since higher market power inspires banks to raise interest rates for firms. Subsequently, borrowers find it hard to repay loan, which in due course increases the risk of loan portfolios making the banks unsound (Boyd &amp; De Nicole, 2005; </w:t>
      </w:r>
      <w:proofErr w:type="spellStart"/>
      <w:r w:rsidRPr="00A6160A">
        <w:rPr>
          <w:rFonts w:ascii="Times New Roman" w:hAnsi="Times New Roman" w:cs="Times New Roman"/>
          <w:sz w:val="24"/>
          <w:szCs w:val="24"/>
        </w:rPr>
        <w:t>Scheak</w:t>
      </w:r>
      <w:proofErr w:type="spellEnd"/>
      <w:r w:rsidRPr="00A6160A">
        <w:rPr>
          <w:rFonts w:ascii="Times New Roman" w:hAnsi="Times New Roman" w:cs="Times New Roman"/>
          <w:sz w:val="24"/>
          <w:szCs w:val="24"/>
        </w:rPr>
        <w:t xml:space="preserve"> &amp; </w:t>
      </w:r>
      <w:proofErr w:type="spellStart"/>
      <w:r w:rsidRPr="00A6160A">
        <w:rPr>
          <w:rFonts w:ascii="Times New Roman" w:hAnsi="Times New Roman" w:cs="Times New Roman"/>
          <w:sz w:val="24"/>
          <w:szCs w:val="24"/>
        </w:rPr>
        <w:t>Cihak</w:t>
      </w:r>
      <w:proofErr w:type="spellEnd"/>
      <w:r w:rsidRPr="00A6160A">
        <w:rPr>
          <w:rFonts w:ascii="Times New Roman" w:hAnsi="Times New Roman" w:cs="Times New Roman"/>
          <w:sz w:val="24"/>
          <w:szCs w:val="24"/>
        </w:rPr>
        <w:t xml:space="preserve">, 2010). For example, </w:t>
      </w:r>
      <w:proofErr w:type="spellStart"/>
      <w:r w:rsidRPr="00A6160A">
        <w:rPr>
          <w:rFonts w:ascii="Times New Roman" w:hAnsi="Times New Roman" w:cs="Times New Roman"/>
          <w:sz w:val="24"/>
          <w:szCs w:val="24"/>
        </w:rPr>
        <w:t>Clerides</w:t>
      </w:r>
      <w:proofErr w:type="spellEnd"/>
      <w:r w:rsidRPr="00A6160A">
        <w:rPr>
          <w:rFonts w:ascii="Times New Roman" w:hAnsi="Times New Roman" w:cs="Times New Roman"/>
          <w:sz w:val="24"/>
          <w:szCs w:val="24"/>
        </w:rPr>
        <w:t xml:space="preserve"> et al (2013) evaluate the level of competition in the banking sectors of 148 countries between 1997 and 2010. The authors’ use three different methods to compare results, which are those of Lerner (1934), </w:t>
      </w:r>
      <w:proofErr w:type="spellStart"/>
      <w:r w:rsidRPr="00A6160A">
        <w:rPr>
          <w:rFonts w:ascii="Times New Roman" w:hAnsi="Times New Roman" w:cs="Times New Roman"/>
          <w:sz w:val="24"/>
          <w:szCs w:val="24"/>
        </w:rPr>
        <w:t>Koetter</w:t>
      </w:r>
      <w:proofErr w:type="spellEnd"/>
      <w:r w:rsidRPr="00A6160A">
        <w:rPr>
          <w:rFonts w:ascii="Times New Roman" w:hAnsi="Times New Roman" w:cs="Times New Roman"/>
          <w:sz w:val="24"/>
          <w:szCs w:val="24"/>
        </w:rPr>
        <w:t xml:space="preserve"> et al (2012) that is the efficiency-adjusted Lerner Index, and Boone (2008) that measures profit elasticity. They conclude that market power increased during the periods of 1997-2006, declined until 2008, and then increased again after the financial crises in 2009-2010 (</w:t>
      </w:r>
      <w:proofErr w:type="spellStart"/>
      <w:r w:rsidRPr="00A6160A">
        <w:rPr>
          <w:rFonts w:ascii="Times New Roman" w:hAnsi="Times New Roman" w:cs="Times New Roman"/>
          <w:sz w:val="24"/>
          <w:szCs w:val="24"/>
        </w:rPr>
        <w:t>Clerides</w:t>
      </w:r>
      <w:proofErr w:type="spellEnd"/>
      <w:r w:rsidRPr="00A6160A">
        <w:rPr>
          <w:rFonts w:ascii="Times New Roman" w:hAnsi="Times New Roman" w:cs="Times New Roman"/>
          <w:sz w:val="24"/>
          <w:szCs w:val="24"/>
        </w:rPr>
        <w:t xml:space="preserve"> et al, 2013). Hence, they find confirmation that banking competitiveness is linked with financial stability. In other words, during the upward period banking competition seems to weaken overall and during downturn economic conditions, competition increases. </w:t>
      </w:r>
    </w:p>
    <w:p w:rsidR="00A6160A" w:rsidRPr="00A6160A" w:rsidRDefault="00A6160A" w:rsidP="00A6160A">
      <w:pPr>
        <w:rPr>
          <w:rFonts w:ascii="Times New Roman" w:hAnsi="Times New Roman" w:cs="Times New Roman"/>
          <w:b/>
          <w:bCs/>
          <w:sz w:val="24"/>
          <w:szCs w:val="24"/>
          <w:u w:val="single"/>
        </w:rPr>
      </w:pPr>
      <w:r w:rsidRPr="00A6160A">
        <w:rPr>
          <w:rFonts w:ascii="Times New Roman" w:hAnsi="Times New Roman" w:cs="Times New Roman"/>
          <w:b/>
          <w:bCs/>
          <w:sz w:val="24"/>
          <w:szCs w:val="24"/>
          <w:u w:val="single"/>
        </w:rPr>
        <w:t xml:space="preserve">Measurement of Bank liquidity creation </w:t>
      </w:r>
    </w:p>
    <w:p w:rsidR="00A6160A" w:rsidRPr="00A6160A" w:rsidRDefault="00A6160A" w:rsidP="00A6160A">
      <w:pPr>
        <w:rPr>
          <w:rFonts w:ascii="Times New Roman" w:hAnsi="Times New Roman" w:cs="Times New Roman"/>
          <w:sz w:val="24"/>
          <w:szCs w:val="24"/>
        </w:rPr>
      </w:pPr>
      <w:r w:rsidRPr="00A6160A">
        <w:rPr>
          <w:rFonts w:ascii="Times New Roman" w:hAnsi="Times New Roman" w:cs="Times New Roman"/>
          <w:sz w:val="24"/>
          <w:szCs w:val="24"/>
        </w:rPr>
        <w:tab/>
        <w:t>The initial measure of bank liquidity creation was realised by Deep and Schaefer (2004), which defined the liquidity transformation gap ‘LT gap’ as (liquid liabilities- liquid assets)/total assets. They regard all loans that mature within one year or less to be liquid, and dismiss any loan obligations and off balance sheet activities due to their contingent nature. The ‘LT gap’ is utilized on data of two hundred of the United States largest banks from 1997 to 2001. The authors conclude that commercial banks in the United States accomplish a low level of liquidity. Furthermore, they find deposit insurance has a restricted effect encouraging liquidity transformation, since deposits are replaced by liabilities instead of spreading the deposit base (Deep &amp;Schaefer, 2004).</w:t>
      </w:r>
    </w:p>
    <w:p w:rsidR="00A6160A" w:rsidRPr="00A6160A" w:rsidRDefault="00A6160A" w:rsidP="00A6160A">
      <w:pPr>
        <w:rPr>
          <w:rFonts w:ascii="Times New Roman" w:hAnsi="Times New Roman" w:cs="Times New Roman"/>
          <w:color w:val="000000"/>
          <w:sz w:val="24"/>
          <w:szCs w:val="24"/>
        </w:rPr>
      </w:pPr>
      <w:r w:rsidRPr="00A6160A">
        <w:rPr>
          <w:rFonts w:ascii="Times New Roman" w:hAnsi="Times New Roman" w:cs="Times New Roman"/>
          <w:color w:val="000000"/>
          <w:sz w:val="24"/>
          <w:szCs w:val="24"/>
        </w:rPr>
        <w:tab/>
        <w:t xml:space="preserve"> However, </w:t>
      </w:r>
      <w:r w:rsidRPr="00A6160A">
        <w:rPr>
          <w:rFonts w:ascii="Times New Roman" w:hAnsi="Times New Roman" w:cs="Times New Roman"/>
          <w:sz w:val="24"/>
          <w:szCs w:val="24"/>
        </w:rPr>
        <w:t xml:space="preserve">literature on bank liquidity creation remains limited because its extension is a recent development in Berger and </w:t>
      </w:r>
      <w:proofErr w:type="spellStart"/>
      <w:r w:rsidRPr="00A6160A">
        <w:rPr>
          <w:rFonts w:ascii="Times New Roman" w:hAnsi="Times New Roman" w:cs="Times New Roman"/>
          <w:sz w:val="24"/>
          <w:szCs w:val="24"/>
        </w:rPr>
        <w:t>Bouwman’s</w:t>
      </w:r>
      <w:proofErr w:type="spellEnd"/>
      <w:r w:rsidRPr="00A6160A">
        <w:rPr>
          <w:rFonts w:ascii="Times New Roman" w:hAnsi="Times New Roman" w:cs="Times New Roman"/>
          <w:sz w:val="24"/>
          <w:szCs w:val="24"/>
        </w:rPr>
        <w:t xml:space="preserve"> (2009) article.  Their paper makes a great impact by suggesting a new method for evaluating the liquidity created by banks.  They use four different measures that vary in how off-balance sheet actions are treated and how loans are categorized. Two of the measures are constructed on maturity, whereas the other two are constructed on a grouping classification of the balance sheet items. Moreover, for each category, one measure includes off balance sheet activities, whilst the other does not. This is prepared by classifying all balance sheet items as either liquid, semi liquid or illiquid.  The authors then allocated weights to all of the items and calculated the amount of liquidity created by all individual banks in the US between 1993 and 2003. They conclude that liquidity creation amplified significantly between 1993 and 2003, since the banking industry created $2.8 trillion in liquidity in 2003. However, only half of the liquidity created came from on the balance-sheet, showing the importance of analysing of balance-sheet liquidity creation. Using measures that include off-balance-sheet items, the relationship is positive for large banks, but less significant for medium banks.  Not including off-balance sheet items, the authors find the relation is not important for large and medium banks, and negative for small banks. Thus, they find theoretical support for both theories which expect higher capital to suppress liquidity and those that debate that higher capital can enrich banks’ ability to create more liquidity. </w:t>
      </w:r>
    </w:p>
    <w:p w:rsidR="00A6160A" w:rsidRPr="00A6160A" w:rsidRDefault="00A6160A" w:rsidP="00A6160A">
      <w:pPr>
        <w:rPr>
          <w:rFonts w:ascii="Times New Roman" w:hAnsi="Times New Roman" w:cs="Times New Roman"/>
          <w:b/>
          <w:bCs/>
          <w:sz w:val="24"/>
          <w:szCs w:val="24"/>
          <w:u w:val="single"/>
        </w:rPr>
      </w:pPr>
      <w:r w:rsidRPr="00A6160A">
        <w:rPr>
          <w:rFonts w:ascii="Times New Roman" w:hAnsi="Times New Roman" w:cs="Times New Roman"/>
          <w:b/>
          <w:bCs/>
          <w:sz w:val="24"/>
          <w:szCs w:val="24"/>
          <w:u w:val="single"/>
        </w:rPr>
        <w:lastRenderedPageBreak/>
        <w:t xml:space="preserve">How bank competition influences liquidity creation </w:t>
      </w:r>
    </w:p>
    <w:p w:rsidR="00A6160A" w:rsidRPr="00A6160A" w:rsidRDefault="00A6160A" w:rsidP="00A6160A">
      <w:pPr>
        <w:ind w:firstLine="720"/>
        <w:rPr>
          <w:rFonts w:ascii="Times New Roman" w:hAnsi="Times New Roman" w:cs="Times New Roman"/>
          <w:sz w:val="24"/>
          <w:szCs w:val="24"/>
        </w:rPr>
      </w:pPr>
      <w:r w:rsidRPr="00A6160A">
        <w:rPr>
          <w:rFonts w:ascii="Times New Roman" w:hAnsi="Times New Roman" w:cs="Times New Roman"/>
          <w:sz w:val="24"/>
          <w:szCs w:val="24"/>
        </w:rPr>
        <w:t xml:space="preserve">Horvath et al (2014) assess the effect of bank competition on liquidity creation by banks in order to contribute to literature on bank competition and the factors of liquescence creation. The relationship between competition and liquidity creation is found using Generalized Method of Moments (GMM) panel estimation, using Berger and </w:t>
      </w:r>
      <w:proofErr w:type="spellStart"/>
      <w:r w:rsidRPr="00A6160A">
        <w:rPr>
          <w:rFonts w:ascii="Times New Roman" w:hAnsi="Times New Roman" w:cs="Times New Roman"/>
          <w:sz w:val="24"/>
          <w:szCs w:val="24"/>
        </w:rPr>
        <w:t>Bouwan’s</w:t>
      </w:r>
      <w:proofErr w:type="spellEnd"/>
      <w:r w:rsidRPr="00A6160A">
        <w:rPr>
          <w:rFonts w:ascii="Times New Roman" w:hAnsi="Times New Roman" w:cs="Times New Roman"/>
          <w:sz w:val="24"/>
          <w:szCs w:val="24"/>
        </w:rPr>
        <w:t xml:space="preserve"> (2009) approach that requires high level data.  Hence, they focus solely on the analysis of Czech banks from 2002 to 2010 on their liquidity creation. Bank competition is measured using the Lerner Index, because it captures the active behaviour of banks and it is regarded as a commonly used in recent studies.   They find increase in bank competition reduces liquidity creation and deteriorates banks safeguards against negative shocks (Horvath et al, 2014). This is because competition is seen to reduce profitability, meaning banks have a lower incentive to create liquidity, due to higher volume of loans increasing potential loan losses and higher level of deposits enhances the sensitivity to bank runs. They infer that the consequence of competition enhances bank fragility, which in turn reduces the incentive for banks to generate liquidity (Horvath et al, 2014). Thus, there is a compromise between banks competition increasing consumer welfare, and the damaging effect of competition on liquidity creation (Horvath et al, 2014). </w:t>
      </w:r>
    </w:p>
    <w:p w:rsidR="00A6160A" w:rsidRPr="00A6160A" w:rsidRDefault="00A6160A" w:rsidP="00A6160A">
      <w:pPr>
        <w:rPr>
          <w:rFonts w:ascii="Times New Roman" w:hAnsi="Times New Roman" w:cs="Times New Roman"/>
          <w:b/>
          <w:bCs/>
          <w:sz w:val="24"/>
          <w:szCs w:val="24"/>
          <w:u w:val="single"/>
        </w:rPr>
      </w:pPr>
      <w:r w:rsidRPr="00A6160A">
        <w:rPr>
          <w:rFonts w:ascii="Times New Roman" w:hAnsi="Times New Roman" w:cs="Times New Roman"/>
          <w:b/>
          <w:bCs/>
          <w:sz w:val="24"/>
          <w:szCs w:val="24"/>
          <w:u w:val="single"/>
        </w:rPr>
        <w:t xml:space="preserve">How bank competition affects solvency, liquidity and credit risk </w:t>
      </w:r>
    </w:p>
    <w:p w:rsidR="00A6160A" w:rsidRPr="00A6160A" w:rsidRDefault="00A6160A" w:rsidP="00A6160A">
      <w:pPr>
        <w:rPr>
          <w:rFonts w:ascii="Times New Roman" w:hAnsi="Times New Roman" w:cs="Times New Roman"/>
          <w:sz w:val="24"/>
          <w:szCs w:val="24"/>
        </w:rPr>
      </w:pPr>
      <w:r w:rsidRPr="00A6160A">
        <w:rPr>
          <w:rFonts w:ascii="Times New Roman" w:hAnsi="Times New Roman" w:cs="Times New Roman"/>
          <w:sz w:val="24"/>
          <w:szCs w:val="24"/>
        </w:rPr>
        <w:tab/>
      </w:r>
      <w:proofErr w:type="spellStart"/>
      <w:r w:rsidRPr="00A6160A">
        <w:rPr>
          <w:rFonts w:ascii="Times New Roman" w:hAnsi="Times New Roman" w:cs="Times New Roman"/>
          <w:sz w:val="24"/>
          <w:szCs w:val="24"/>
        </w:rPr>
        <w:t>Almarzoqi</w:t>
      </w:r>
      <w:proofErr w:type="spellEnd"/>
      <w:r w:rsidRPr="00A6160A">
        <w:rPr>
          <w:rFonts w:ascii="Times New Roman" w:hAnsi="Times New Roman" w:cs="Times New Roman"/>
          <w:sz w:val="24"/>
          <w:szCs w:val="24"/>
        </w:rPr>
        <w:t xml:space="preserve"> et al (2015) analysed the link between bank competition and stability with a geographical focus on the Middle East and North Africa, whose banking system is still regarded as having low levels of competition and high entry barriers for banks. The authors focused on the </w:t>
      </w:r>
      <w:proofErr w:type="spellStart"/>
      <w:r w:rsidRPr="00A6160A">
        <w:rPr>
          <w:rFonts w:ascii="Times New Roman" w:hAnsi="Times New Roman" w:cs="Times New Roman"/>
          <w:sz w:val="24"/>
          <w:szCs w:val="24"/>
        </w:rPr>
        <w:t>microprudential</w:t>
      </w:r>
      <w:proofErr w:type="spellEnd"/>
      <w:r w:rsidRPr="00A6160A">
        <w:rPr>
          <w:rFonts w:ascii="Times New Roman" w:hAnsi="Times New Roman" w:cs="Times New Roman"/>
          <w:sz w:val="24"/>
          <w:szCs w:val="24"/>
        </w:rPr>
        <w:t xml:space="preserve"> analysis of individual institutions; whether competitive banks are more stable in relations to liquidity position, capital adequacy, and asset quality (</w:t>
      </w:r>
      <w:proofErr w:type="spellStart"/>
      <w:r w:rsidRPr="00A6160A">
        <w:rPr>
          <w:rFonts w:ascii="Times New Roman" w:hAnsi="Times New Roman" w:cs="Times New Roman"/>
          <w:sz w:val="24"/>
          <w:szCs w:val="24"/>
        </w:rPr>
        <w:t>Almarzoqi</w:t>
      </w:r>
      <w:proofErr w:type="spellEnd"/>
      <w:r w:rsidRPr="00A6160A">
        <w:rPr>
          <w:rFonts w:ascii="Times New Roman" w:hAnsi="Times New Roman" w:cs="Times New Roman"/>
          <w:sz w:val="24"/>
          <w:szCs w:val="24"/>
        </w:rPr>
        <w:t xml:space="preserve"> et al, 2015). This was achieved by taking into account various forms of financial stability in connection to the different kinds of bank risk at institutional level, specifically liquidity risk, solvency risk, and credit risk. The results showed that bank competition in the region may affect financial stability diversely, depending on the form of risk. For example, an increase in pricing competition exhibited showed an affirmative influence on bank liquidity, but at the same time had some negative effects on bank solvency and asset quality (</w:t>
      </w:r>
      <w:proofErr w:type="spellStart"/>
      <w:r w:rsidRPr="00A6160A">
        <w:rPr>
          <w:rFonts w:ascii="Times New Roman" w:hAnsi="Times New Roman" w:cs="Times New Roman"/>
          <w:sz w:val="24"/>
          <w:szCs w:val="24"/>
        </w:rPr>
        <w:t>Almarzoqi</w:t>
      </w:r>
      <w:proofErr w:type="spellEnd"/>
      <w:r w:rsidRPr="00A6160A">
        <w:rPr>
          <w:rFonts w:ascii="Times New Roman" w:hAnsi="Times New Roman" w:cs="Times New Roman"/>
          <w:sz w:val="24"/>
          <w:szCs w:val="24"/>
        </w:rPr>
        <w:t xml:space="preserve"> et al, 2015). This is due to banks pricing their products at a competitive level, meaning they get lower profit margins and then are not able to meet the expense of costly funding sources, thus tend to keep larger liquidity buffers than bank with comparative market power (</w:t>
      </w:r>
      <w:proofErr w:type="spellStart"/>
      <w:r w:rsidRPr="00A6160A">
        <w:rPr>
          <w:rFonts w:ascii="Times New Roman" w:hAnsi="Times New Roman" w:cs="Times New Roman"/>
          <w:sz w:val="24"/>
          <w:szCs w:val="24"/>
        </w:rPr>
        <w:t>Almarzoqi</w:t>
      </w:r>
      <w:proofErr w:type="spellEnd"/>
      <w:r w:rsidRPr="00A6160A">
        <w:rPr>
          <w:rFonts w:ascii="Times New Roman" w:hAnsi="Times New Roman" w:cs="Times New Roman"/>
          <w:sz w:val="24"/>
          <w:szCs w:val="24"/>
        </w:rPr>
        <w:t xml:space="preserve"> et al, 2015). At the same, it can decrease bank solvency if the lower profit margins due to lower interest rates is not offset by a large enough rise in capital position.  In this case banks with market power would favour by take advantage of greater payoffs from their activities to build their capital cushions, while more competitive banks can only improve their capital position by realizing greater targets for their equity to asset ratios (</w:t>
      </w:r>
      <w:proofErr w:type="spellStart"/>
      <w:r w:rsidRPr="00A6160A">
        <w:rPr>
          <w:rFonts w:ascii="Times New Roman" w:hAnsi="Times New Roman" w:cs="Times New Roman"/>
          <w:sz w:val="24"/>
          <w:szCs w:val="24"/>
        </w:rPr>
        <w:t>Almarzoqi</w:t>
      </w:r>
      <w:proofErr w:type="spellEnd"/>
      <w:r w:rsidRPr="00A6160A">
        <w:rPr>
          <w:rFonts w:ascii="Times New Roman" w:hAnsi="Times New Roman" w:cs="Times New Roman"/>
          <w:sz w:val="24"/>
          <w:szCs w:val="24"/>
        </w:rPr>
        <w:t xml:space="preserve"> et al, 2015). Lastly, banks under competitive stress may increase their level of risk taking by holding a larger amount of non-performing loans, owing to the increase in profitability overcoming the reduction of credit risk from the debtor’s side (</w:t>
      </w:r>
      <w:proofErr w:type="spellStart"/>
      <w:r w:rsidRPr="00A6160A">
        <w:rPr>
          <w:rFonts w:ascii="Times New Roman" w:hAnsi="Times New Roman" w:cs="Times New Roman"/>
          <w:sz w:val="24"/>
          <w:szCs w:val="24"/>
        </w:rPr>
        <w:t>Almarzoqi</w:t>
      </w:r>
      <w:proofErr w:type="spellEnd"/>
      <w:r w:rsidRPr="00A6160A">
        <w:rPr>
          <w:rFonts w:ascii="Times New Roman" w:hAnsi="Times New Roman" w:cs="Times New Roman"/>
          <w:sz w:val="24"/>
          <w:szCs w:val="24"/>
        </w:rPr>
        <w:t xml:space="preserve"> et al, 2015). Moreover, if banks have more market power they can implement price selectiveness among </w:t>
      </w:r>
      <w:r w:rsidRPr="00A6160A">
        <w:rPr>
          <w:rFonts w:ascii="Times New Roman" w:hAnsi="Times New Roman" w:cs="Times New Roman"/>
          <w:sz w:val="24"/>
          <w:szCs w:val="24"/>
        </w:rPr>
        <w:lastRenderedPageBreak/>
        <w:t>borrowers, thus can monitor debtors more efficiently to maintain and improve the class of their asset groups (</w:t>
      </w:r>
      <w:proofErr w:type="spellStart"/>
      <w:r w:rsidRPr="00A6160A">
        <w:rPr>
          <w:rFonts w:ascii="Times New Roman" w:hAnsi="Times New Roman" w:cs="Times New Roman"/>
          <w:sz w:val="24"/>
          <w:szCs w:val="24"/>
        </w:rPr>
        <w:t>Almarzoqi</w:t>
      </w:r>
      <w:proofErr w:type="spellEnd"/>
      <w:r w:rsidRPr="00A6160A">
        <w:rPr>
          <w:rFonts w:ascii="Times New Roman" w:hAnsi="Times New Roman" w:cs="Times New Roman"/>
          <w:sz w:val="24"/>
          <w:szCs w:val="24"/>
        </w:rPr>
        <w:t xml:space="preserve"> et al, 2015). </w:t>
      </w:r>
    </w:p>
    <w:p w:rsidR="00A6160A" w:rsidRPr="00116C91" w:rsidRDefault="00A6160A" w:rsidP="00116C91">
      <w:pPr>
        <w:rPr>
          <w:rFonts w:ascii="Times New Roman" w:hAnsi="Times New Roman" w:cs="Times New Roman"/>
          <w:sz w:val="24"/>
          <w:szCs w:val="24"/>
        </w:rPr>
      </w:pPr>
      <w:r w:rsidRPr="00A6160A">
        <w:rPr>
          <w:rFonts w:ascii="Times New Roman" w:hAnsi="Times New Roman" w:cs="Times New Roman"/>
          <w:sz w:val="24"/>
          <w:szCs w:val="24"/>
        </w:rPr>
        <w:tab/>
        <w:t>My study differentiates from the above because….</w:t>
      </w:r>
    </w:p>
    <w:p w:rsidR="00711100" w:rsidRPr="00A6160A" w:rsidRDefault="00711100" w:rsidP="00711100">
      <w:pPr>
        <w:rPr>
          <w:rFonts w:ascii="Times New Roman" w:hAnsi="Times New Roman" w:cs="Times New Roman"/>
          <w:b/>
          <w:bCs/>
          <w:sz w:val="24"/>
          <w:szCs w:val="24"/>
          <w:u w:val="single"/>
        </w:rPr>
      </w:pPr>
      <w:r w:rsidRPr="00A6160A">
        <w:rPr>
          <w:rFonts w:ascii="Times New Roman" w:hAnsi="Times New Roman" w:cs="Times New Roman"/>
          <w:b/>
          <w:bCs/>
          <w:sz w:val="24"/>
          <w:szCs w:val="24"/>
          <w:u w:val="single"/>
        </w:rPr>
        <w:t>Methodology</w:t>
      </w:r>
    </w:p>
    <w:p w:rsidR="008F315C" w:rsidRPr="00A6160A" w:rsidRDefault="008F315C" w:rsidP="00711100">
      <w:pPr>
        <w:rPr>
          <w:rFonts w:ascii="Times New Roman" w:hAnsi="Times New Roman" w:cs="Times New Roman"/>
          <w:b/>
          <w:bCs/>
          <w:sz w:val="24"/>
          <w:szCs w:val="24"/>
          <w:u w:val="single"/>
        </w:rPr>
      </w:pPr>
      <w:r w:rsidRPr="00A6160A">
        <w:rPr>
          <w:rFonts w:ascii="Times New Roman" w:hAnsi="Times New Roman" w:cs="Times New Roman"/>
          <w:b/>
          <w:bCs/>
          <w:sz w:val="24"/>
          <w:szCs w:val="24"/>
          <w:u w:val="single"/>
        </w:rPr>
        <w:t xml:space="preserve">Lerner Index </w:t>
      </w:r>
    </w:p>
    <w:p w:rsidR="00711100" w:rsidRPr="00A6160A" w:rsidRDefault="00711100" w:rsidP="00711100">
      <w:pPr>
        <w:ind w:firstLine="720"/>
        <w:rPr>
          <w:rFonts w:ascii="Times New Roman" w:hAnsi="Times New Roman" w:cs="Times New Roman"/>
          <w:sz w:val="24"/>
          <w:szCs w:val="24"/>
        </w:rPr>
      </w:pPr>
      <w:r w:rsidRPr="00A6160A">
        <w:rPr>
          <w:rFonts w:ascii="Times New Roman" w:hAnsi="Times New Roman" w:cs="Times New Roman"/>
          <w:sz w:val="24"/>
          <w:szCs w:val="24"/>
        </w:rPr>
        <w:t>I examine the influence of market structure in banking financial stability using the Lerner Index as a representation for market power. The Lerner index is regarded as the mark up of price over marginal cost and is a measure of the degree of market power. In other words, a ‘smooth’ measure of the magnitude that price exceeds marginal cost, and is calculated as:</w:t>
      </w:r>
    </w:p>
    <w:p w:rsidR="00711100" w:rsidRPr="00A6160A" w:rsidRDefault="00711100" w:rsidP="00711100">
      <w:pPr>
        <w:jc w:val="center"/>
        <w:rPr>
          <w:rFonts w:ascii="Times New Roman" w:hAnsi="Times New Roman" w:cs="Times New Roman"/>
          <w:sz w:val="24"/>
          <w:szCs w:val="24"/>
        </w:rPr>
      </w:pPr>
    </w:p>
    <w:p w:rsidR="00711100" w:rsidRPr="00A6160A" w:rsidRDefault="007C47AC" w:rsidP="00711100">
      <w:pPr>
        <w:jc w:val="center"/>
        <w:rPr>
          <w:rFonts w:ascii="Times New Roman" w:hAnsi="Times New Roman" w:cs="Times New Roman"/>
          <w:sz w:val="24"/>
          <w:szCs w:val="24"/>
        </w:rPr>
      </w:pPr>
      <m:oMathPara>
        <m:oMath>
          <m:sSub>
            <m:sSubPr>
              <m:ctrlPr>
                <w:rPr>
                  <w:rFonts w:ascii="Cambria Math" w:hAnsi="Cambria Math" w:cs="Times New Roman"/>
                  <w:i/>
                  <w:sz w:val="24"/>
                  <w:szCs w:val="24"/>
                  <w:lang w:eastAsia="en-US"/>
                </w:rPr>
              </m:ctrlPr>
            </m:sSubPr>
            <m:e>
              <m:r>
                <w:rPr>
                  <w:rFonts w:ascii="Cambria Math" w:hAnsi="Cambria Math" w:cs="Times New Roman"/>
                  <w:sz w:val="24"/>
                  <w:szCs w:val="24"/>
                </w:rPr>
                <m:t>Lerner</m:t>
              </m:r>
              <m:ctrlPr>
                <w:rPr>
                  <w:rFonts w:ascii="Cambria Math" w:hAnsi="Cambria Math" w:cs="Times New Roman"/>
                  <w:i/>
                  <w:sz w:val="24"/>
                  <w:szCs w:val="24"/>
                </w:rPr>
              </m:ctrlPr>
            </m:e>
            <m:sub>
              <m:r>
                <w:rPr>
                  <w:rFonts w:ascii="Cambria Math" w:hAnsi="Cambria Math" w:cs="Times New Roman"/>
                  <w:sz w:val="24"/>
                  <w:szCs w:val="24"/>
                </w:rPr>
                <m:t>it</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lang w:eastAsia="en-US"/>
                    </w:rPr>
                  </m:ctrlPr>
                </m:sSubPr>
                <m:e>
                  <m:r>
                    <w:rPr>
                      <w:rFonts w:ascii="Cambria Math" w:hAnsi="Cambria Math" w:cs="Times New Roman"/>
                      <w:sz w:val="24"/>
                      <w:szCs w:val="24"/>
                    </w:rPr>
                    <m:t>P</m:t>
                  </m:r>
                  <m:ctrlPr>
                    <w:rPr>
                      <w:rFonts w:ascii="Cambria Math" w:hAnsi="Cambria Math" w:cs="Times New Roman"/>
                      <w:i/>
                      <w:sz w:val="24"/>
                      <w:szCs w:val="24"/>
                    </w:rPr>
                  </m:ctrlP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lang w:eastAsia="en-US"/>
                    </w:rPr>
                  </m:ctrlPr>
                </m:sSubPr>
                <m:e>
                  <m:r>
                    <w:rPr>
                      <w:rFonts w:ascii="Cambria Math" w:hAnsi="Cambria Math" w:cs="Times New Roman"/>
                      <w:sz w:val="24"/>
                      <w:szCs w:val="24"/>
                    </w:rPr>
                    <m:t>MC</m:t>
                  </m:r>
                  <m:ctrlPr>
                    <w:rPr>
                      <w:rFonts w:ascii="Cambria Math" w:hAnsi="Cambria Math" w:cs="Times New Roman"/>
                      <w:i/>
                      <w:sz w:val="24"/>
                      <w:szCs w:val="24"/>
                    </w:rPr>
                  </m:ctrlPr>
                </m:e>
                <m:sub>
                  <m:r>
                    <w:rPr>
                      <w:rFonts w:ascii="Cambria Math" w:hAnsi="Cambria Math" w:cs="Times New Roman"/>
                      <w:sz w:val="24"/>
                      <w:szCs w:val="24"/>
                    </w:rPr>
                    <m:t>it</m:t>
                  </m:r>
                </m:sub>
              </m:sSub>
            </m:num>
            <m:den>
              <m:sSub>
                <m:sSubPr>
                  <m:ctrlPr>
                    <w:rPr>
                      <w:rFonts w:ascii="Cambria Math" w:hAnsi="Cambria Math" w:cs="Times New Roman"/>
                      <w:i/>
                      <w:sz w:val="24"/>
                      <w:szCs w:val="24"/>
                      <w:lang w:eastAsia="en-US"/>
                    </w:rPr>
                  </m:ctrlPr>
                </m:sSubPr>
                <m:e>
                  <m:r>
                    <w:rPr>
                      <w:rFonts w:ascii="Cambria Math" w:hAnsi="Cambria Math" w:cs="Times New Roman"/>
                      <w:sz w:val="24"/>
                      <w:szCs w:val="24"/>
                    </w:rPr>
                    <m:t>P</m:t>
                  </m:r>
                  <m:ctrlPr>
                    <w:rPr>
                      <w:rFonts w:ascii="Cambria Math" w:hAnsi="Cambria Math" w:cs="Times New Roman"/>
                      <w:i/>
                      <w:sz w:val="24"/>
                      <w:szCs w:val="24"/>
                    </w:rPr>
                  </m:ctrlPr>
                </m:e>
                <m:sub>
                  <m:r>
                    <w:rPr>
                      <w:rFonts w:ascii="Cambria Math" w:hAnsi="Cambria Math" w:cs="Times New Roman"/>
                      <w:sz w:val="24"/>
                      <w:szCs w:val="24"/>
                    </w:rPr>
                    <m:t>it</m:t>
                  </m:r>
                </m:sub>
              </m:sSub>
            </m:den>
          </m:f>
        </m:oMath>
      </m:oMathPara>
    </w:p>
    <w:p w:rsidR="00711100" w:rsidRPr="00A6160A" w:rsidRDefault="00711100" w:rsidP="00711100">
      <w:pPr>
        <w:rPr>
          <w:rFonts w:ascii="Times New Roman" w:hAnsi="Times New Roman" w:cs="Times New Roman"/>
          <w:sz w:val="24"/>
          <w:szCs w:val="24"/>
        </w:rPr>
      </w:pPr>
      <w:r w:rsidRPr="00A6160A">
        <w:rPr>
          <w:rFonts w:ascii="Times New Roman" w:hAnsi="Times New Roman" w:cs="Times New Roman"/>
          <w:sz w:val="24"/>
          <w:szCs w:val="24"/>
        </w:rPr>
        <w:tab/>
      </w:r>
      <w:r w:rsidRPr="00A6160A">
        <w:rPr>
          <w:rFonts w:ascii="Times New Roman" w:hAnsi="Times New Roman" w:cs="Times New Roman"/>
          <w:sz w:val="24"/>
          <w:szCs w:val="24"/>
        </w:rPr>
        <w:tab/>
      </w:r>
      <w:r w:rsidRPr="00A6160A">
        <w:rPr>
          <w:rFonts w:ascii="Times New Roman" w:hAnsi="Times New Roman" w:cs="Times New Roman"/>
          <w:sz w:val="24"/>
          <w:szCs w:val="24"/>
        </w:rPr>
        <w:tab/>
      </w:r>
      <w:r w:rsidRPr="00A6160A">
        <w:rPr>
          <w:rFonts w:ascii="Times New Roman" w:hAnsi="Times New Roman" w:cs="Times New Roman"/>
          <w:sz w:val="24"/>
          <w:szCs w:val="24"/>
        </w:rPr>
        <w:tab/>
      </w:r>
      <w:r w:rsidRPr="00A6160A">
        <w:rPr>
          <w:rFonts w:ascii="Times New Roman" w:hAnsi="Times New Roman" w:cs="Times New Roman"/>
          <w:sz w:val="24"/>
          <w:szCs w:val="24"/>
        </w:rPr>
        <w:tab/>
      </w:r>
      <w:r w:rsidRPr="00A6160A">
        <w:rPr>
          <w:rFonts w:ascii="Times New Roman" w:hAnsi="Times New Roman" w:cs="Times New Roman"/>
          <w:sz w:val="24"/>
          <w:szCs w:val="24"/>
        </w:rPr>
        <w:tab/>
      </w:r>
      <w:r w:rsidRPr="00A6160A">
        <w:rPr>
          <w:rFonts w:ascii="Times New Roman" w:hAnsi="Times New Roman" w:cs="Times New Roman"/>
          <w:sz w:val="24"/>
          <w:szCs w:val="24"/>
        </w:rPr>
        <w:tab/>
      </w:r>
      <w:r w:rsidRPr="00A6160A">
        <w:rPr>
          <w:rFonts w:ascii="Times New Roman" w:hAnsi="Times New Roman" w:cs="Times New Roman"/>
          <w:sz w:val="24"/>
          <w:szCs w:val="24"/>
        </w:rPr>
        <w:tab/>
      </w:r>
      <w:r w:rsidRPr="00A6160A">
        <w:rPr>
          <w:rFonts w:ascii="Times New Roman" w:hAnsi="Times New Roman" w:cs="Times New Roman"/>
          <w:sz w:val="24"/>
          <w:szCs w:val="24"/>
        </w:rPr>
        <w:tab/>
      </w:r>
      <w:r w:rsidRPr="00A6160A">
        <w:rPr>
          <w:rFonts w:ascii="Times New Roman" w:hAnsi="Times New Roman" w:cs="Times New Roman"/>
          <w:sz w:val="24"/>
          <w:szCs w:val="24"/>
        </w:rPr>
        <w:tab/>
      </w:r>
      <w:r w:rsidRPr="00A6160A">
        <w:rPr>
          <w:rFonts w:ascii="Times New Roman" w:hAnsi="Times New Roman" w:cs="Times New Roman"/>
          <w:sz w:val="24"/>
          <w:szCs w:val="24"/>
        </w:rPr>
        <w:tab/>
      </w:r>
      <w:r w:rsidRPr="00A6160A">
        <w:rPr>
          <w:rFonts w:ascii="Times New Roman" w:hAnsi="Times New Roman" w:cs="Times New Roman"/>
          <w:sz w:val="24"/>
          <w:szCs w:val="24"/>
        </w:rPr>
        <w:tab/>
        <w:t>(1)</w:t>
      </w:r>
    </w:p>
    <w:p w:rsidR="00711100" w:rsidRPr="00A6160A" w:rsidRDefault="00711100" w:rsidP="00463465">
      <w:pPr>
        <w:rPr>
          <w:rFonts w:ascii="Times New Roman" w:hAnsi="Times New Roman" w:cs="Times New Roman"/>
          <w:sz w:val="24"/>
          <w:szCs w:val="24"/>
        </w:rPr>
      </w:pPr>
      <w:r w:rsidRPr="00A6160A">
        <w:rPr>
          <w:rFonts w:ascii="Times New Roman" w:hAnsi="Times New Roman" w:cs="Times New Roman"/>
          <w:sz w:val="24"/>
          <w:szCs w:val="24"/>
        </w:rPr>
        <w:t xml:space="preserve">Where </w:t>
      </w:r>
      <m:oMath>
        <m:sSub>
          <m:sSubPr>
            <m:ctrlPr>
              <w:rPr>
                <w:rFonts w:ascii="Cambria Math" w:hAnsi="Cambria Math" w:cs="Times New Roman"/>
                <w:i/>
                <w:sz w:val="24"/>
                <w:szCs w:val="24"/>
                <w:lang w:eastAsia="en-US"/>
              </w:rPr>
            </m:ctrlPr>
          </m:sSubPr>
          <m:e>
            <m:r>
              <w:rPr>
                <w:rFonts w:ascii="Cambria Math" w:hAnsi="Cambria Math" w:cs="Times New Roman"/>
                <w:sz w:val="24"/>
                <w:szCs w:val="24"/>
              </w:rPr>
              <m:t>P</m:t>
            </m:r>
          </m:e>
          <m:sub>
            <m:r>
              <w:rPr>
                <w:rFonts w:ascii="Cambria Math" w:hAnsi="Cambria Math" w:cs="Times New Roman"/>
                <w:sz w:val="24"/>
                <w:szCs w:val="24"/>
              </w:rPr>
              <m:t>it</m:t>
            </m:r>
          </m:sub>
        </m:sSub>
      </m:oMath>
      <w:r w:rsidRPr="00A6160A">
        <w:rPr>
          <w:rFonts w:ascii="Times New Roman" w:hAnsi="Times New Roman" w:cs="Times New Roman"/>
          <w:sz w:val="24"/>
          <w:szCs w:val="24"/>
        </w:rPr>
        <w:t xml:space="preserve">is the price of total assets for bank </w:t>
      </w:r>
      <m:oMath>
        <m:r>
          <w:rPr>
            <w:rFonts w:ascii="Cambria Math" w:hAnsi="Cambria Math" w:cs="Times New Roman"/>
            <w:sz w:val="24"/>
            <w:szCs w:val="24"/>
          </w:rPr>
          <m:t>i</m:t>
        </m:r>
      </m:oMath>
      <w:r w:rsidRPr="00A6160A">
        <w:rPr>
          <w:rFonts w:ascii="Times New Roman" w:hAnsi="Times New Roman" w:cs="Times New Roman"/>
          <w:i/>
          <w:sz w:val="24"/>
          <w:szCs w:val="24"/>
        </w:rPr>
        <w:t xml:space="preserve"> </w:t>
      </w:r>
      <w:r w:rsidRPr="00A6160A">
        <w:rPr>
          <w:rFonts w:ascii="Times New Roman" w:hAnsi="Times New Roman" w:cs="Times New Roman"/>
          <w:sz w:val="24"/>
          <w:szCs w:val="24"/>
        </w:rPr>
        <w:t xml:space="preserve">at </w:t>
      </w:r>
      <w:proofErr w:type="gramStart"/>
      <w:r w:rsidRPr="00A6160A">
        <w:rPr>
          <w:rFonts w:ascii="Times New Roman" w:hAnsi="Times New Roman" w:cs="Times New Roman"/>
          <w:sz w:val="24"/>
          <w:szCs w:val="24"/>
        </w:rPr>
        <w:t xml:space="preserve">time </w:t>
      </w:r>
      <w:proofErr w:type="gramEnd"/>
      <m:oMath>
        <m:r>
          <w:rPr>
            <w:rFonts w:ascii="Cambria Math" w:hAnsi="Cambria Math" w:cs="Times New Roman"/>
            <w:sz w:val="24"/>
            <w:szCs w:val="24"/>
          </w:rPr>
          <m:t>t</m:t>
        </m:r>
      </m:oMath>
      <w:r w:rsidRPr="00A6160A">
        <w:rPr>
          <w:rFonts w:ascii="Times New Roman" w:hAnsi="Times New Roman" w:cs="Times New Roman"/>
          <w:sz w:val="24"/>
          <w:szCs w:val="24"/>
        </w:rPr>
        <w:t xml:space="preserve">, and </w:t>
      </w:r>
      <m:oMath>
        <m:sSub>
          <m:sSubPr>
            <m:ctrlPr>
              <w:rPr>
                <w:rFonts w:ascii="Cambria Math" w:hAnsi="Cambria Math" w:cs="Times New Roman"/>
                <w:i/>
                <w:sz w:val="24"/>
                <w:szCs w:val="24"/>
                <w:lang w:eastAsia="en-US"/>
              </w:rPr>
            </m:ctrlPr>
          </m:sSubPr>
          <m:e>
            <m:r>
              <w:rPr>
                <w:rFonts w:ascii="Cambria Math" w:hAnsi="Cambria Math" w:cs="Times New Roman"/>
                <w:sz w:val="24"/>
                <w:szCs w:val="24"/>
              </w:rPr>
              <m:t>MC</m:t>
            </m:r>
          </m:e>
          <m:sub>
            <m:r>
              <w:rPr>
                <w:rFonts w:ascii="Cambria Math" w:hAnsi="Cambria Math" w:cs="Times New Roman"/>
                <w:sz w:val="24"/>
                <w:szCs w:val="24"/>
              </w:rPr>
              <m:t>it</m:t>
            </m:r>
          </m:sub>
        </m:sSub>
      </m:oMath>
      <w:r w:rsidRPr="00A6160A">
        <w:rPr>
          <w:rFonts w:ascii="Times New Roman" w:hAnsi="Times New Roman" w:cs="Times New Roman"/>
          <w:sz w:val="24"/>
          <w:szCs w:val="24"/>
        </w:rPr>
        <w:t xml:space="preserve"> is the marginal cost of total assets. T</w:t>
      </w:r>
      <w:r w:rsidR="00116C91">
        <w:rPr>
          <w:rFonts w:ascii="Times New Roman" w:hAnsi="Times New Roman" w:cs="Times New Roman"/>
          <w:sz w:val="24"/>
          <w:szCs w:val="24"/>
        </w:rPr>
        <w:t xml:space="preserve">he resultant Lerner for each </w:t>
      </w:r>
      <w:r w:rsidRPr="00A6160A">
        <w:rPr>
          <w:rFonts w:ascii="Times New Roman" w:hAnsi="Times New Roman" w:cs="Times New Roman"/>
          <w:sz w:val="24"/>
          <w:szCs w:val="24"/>
        </w:rPr>
        <w:t>country i</w:t>
      </w:r>
      <w:r w:rsidR="00416497">
        <w:rPr>
          <w:rFonts w:ascii="Times New Roman" w:hAnsi="Times New Roman" w:cs="Times New Roman"/>
          <w:sz w:val="24"/>
          <w:szCs w:val="24"/>
        </w:rPr>
        <w:t xml:space="preserve">s averaged over the period under </w:t>
      </w:r>
      <w:r w:rsidR="00116C91">
        <w:rPr>
          <w:rFonts w:ascii="Times New Roman" w:hAnsi="Times New Roman" w:cs="Times New Roman"/>
          <w:sz w:val="24"/>
          <w:szCs w:val="24"/>
        </w:rPr>
        <w:t xml:space="preserve">analysis for </w:t>
      </w:r>
      <w:r w:rsidR="00416497" w:rsidRPr="00A6160A">
        <w:rPr>
          <w:rFonts w:ascii="Times New Roman" w:hAnsi="Times New Roman" w:cs="Times New Roman"/>
          <w:sz w:val="24"/>
          <w:szCs w:val="24"/>
        </w:rPr>
        <w:t>bank</w:t>
      </w:r>
      <w:r w:rsidR="00416497">
        <w:rPr>
          <w:rFonts w:ascii="Times New Roman" w:hAnsi="Times New Roman" w:cs="Times New Roman"/>
          <w:sz w:val="24"/>
          <w:szCs w:val="24"/>
        </w:rPr>
        <w:t xml:space="preserve"> </w:t>
      </w:r>
      <m:oMath>
        <m:r>
          <w:rPr>
            <w:rFonts w:ascii="Cambria Math" w:hAnsi="Cambria Math" w:cs="Times New Roman"/>
            <w:sz w:val="24"/>
            <w:szCs w:val="24"/>
          </w:rPr>
          <m:t>i</m:t>
        </m:r>
      </m:oMath>
      <w:r w:rsidR="00116C91">
        <w:rPr>
          <w:rFonts w:ascii="Times New Roman" w:hAnsi="Times New Roman" w:cs="Times New Roman"/>
          <w:sz w:val="24"/>
          <w:szCs w:val="24"/>
        </w:rPr>
        <w:t xml:space="preserve"> at time t (Berger et al, 2009)</w:t>
      </w:r>
      <w:r w:rsidRPr="00A6160A">
        <w:rPr>
          <w:rFonts w:ascii="Times New Roman" w:hAnsi="Times New Roman" w:cs="Times New Roman"/>
          <w:sz w:val="24"/>
          <w:szCs w:val="24"/>
        </w:rPr>
        <w:t xml:space="preserve">. </w:t>
      </w:r>
      <m:oMath>
        <m:sSub>
          <m:sSubPr>
            <m:ctrlPr>
              <w:rPr>
                <w:rFonts w:ascii="Cambria Math" w:hAnsi="Cambria Math" w:cs="Times New Roman"/>
                <w:i/>
                <w:sz w:val="24"/>
                <w:szCs w:val="24"/>
                <w:lang w:eastAsia="en-US"/>
              </w:rPr>
            </m:ctrlPr>
          </m:sSubPr>
          <m:e>
            <m:r>
              <w:rPr>
                <w:rFonts w:ascii="Cambria Math" w:hAnsi="Cambria Math" w:cs="Times New Roman"/>
                <w:sz w:val="24"/>
                <w:szCs w:val="24"/>
              </w:rPr>
              <m:t>MC</m:t>
            </m:r>
          </m:e>
          <m:sub>
            <m:r>
              <w:rPr>
                <w:rFonts w:ascii="Cambria Math" w:hAnsi="Cambria Math" w:cs="Times New Roman"/>
                <w:sz w:val="24"/>
                <w:szCs w:val="24"/>
              </w:rPr>
              <m:t>it</m:t>
            </m:r>
          </m:sub>
        </m:sSub>
      </m:oMath>
      <w:r w:rsidRPr="00A6160A">
        <w:rPr>
          <w:rFonts w:ascii="Times New Roman" w:hAnsi="Times New Roman" w:cs="Times New Roman"/>
          <w:sz w:val="24"/>
          <w:szCs w:val="24"/>
        </w:rPr>
        <w:t xml:space="preserve"> </w:t>
      </w:r>
      <w:proofErr w:type="gramStart"/>
      <w:r w:rsidRPr="00A6160A">
        <w:rPr>
          <w:rFonts w:ascii="Times New Roman" w:hAnsi="Times New Roman" w:cs="Times New Roman"/>
          <w:sz w:val="24"/>
          <w:szCs w:val="24"/>
        </w:rPr>
        <w:t>is</w:t>
      </w:r>
      <w:proofErr w:type="gramEnd"/>
      <w:r w:rsidRPr="00A6160A">
        <w:rPr>
          <w:rFonts w:ascii="Times New Roman" w:hAnsi="Times New Roman" w:cs="Times New Roman"/>
          <w:sz w:val="24"/>
          <w:szCs w:val="24"/>
        </w:rPr>
        <w:t xml:space="preserve"> </w:t>
      </w:r>
      <w:r w:rsidR="00416497">
        <w:rPr>
          <w:rFonts w:ascii="Times New Roman" w:hAnsi="Times New Roman" w:cs="Times New Roman"/>
          <w:sz w:val="24"/>
          <w:szCs w:val="24"/>
        </w:rPr>
        <w:t xml:space="preserve">not directly recognizable </w:t>
      </w:r>
      <w:r w:rsidR="00116C91">
        <w:rPr>
          <w:rFonts w:ascii="Times New Roman" w:hAnsi="Times New Roman" w:cs="Times New Roman"/>
          <w:sz w:val="24"/>
          <w:szCs w:val="24"/>
        </w:rPr>
        <w:t xml:space="preserve">for a specific organization, hence are estimated using bounds of a total cost function from the organizations data and obtaining the marginal cost  </w:t>
      </w:r>
      <w:r w:rsidRPr="00A6160A">
        <w:rPr>
          <w:rFonts w:ascii="Times New Roman" w:hAnsi="Times New Roman" w:cs="Times New Roman"/>
          <w:sz w:val="24"/>
          <w:szCs w:val="24"/>
        </w:rPr>
        <w:t>from the subsequent translong cost function:</w:t>
      </w:r>
    </w:p>
    <w:p w:rsidR="00711100" w:rsidRPr="00A6160A" w:rsidRDefault="00711100" w:rsidP="00711100">
      <w:pPr>
        <w:rPr>
          <w:rFonts w:ascii="Times New Roman" w:hAnsi="Times New Roman" w:cs="Times New Roman"/>
          <w:sz w:val="24"/>
          <w:szCs w:val="24"/>
        </w:rPr>
      </w:pPr>
    </w:p>
    <w:p w:rsidR="00711100" w:rsidRPr="00A6160A" w:rsidRDefault="007C47AC" w:rsidP="00711100">
      <w:pP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LnCost</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0</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1</m:t>
              </m:r>
            </m:sub>
          </m:sSub>
          <m:r>
            <w:rPr>
              <w:rFonts w:ascii="Cambria Math" w:hAnsi="Cambria Math" w:cs="Times New Roman"/>
              <w:sz w:val="24"/>
              <w:szCs w:val="24"/>
            </w:rPr>
            <m:t>Ln</m:t>
          </m:r>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it</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2</m:t>
                  </m:r>
                </m:sub>
              </m:sSub>
            </m:num>
            <m:den>
              <m:r>
                <w:rPr>
                  <w:rFonts w:ascii="Cambria Math" w:hAnsi="Cambria Math" w:cs="Times New Roman"/>
                  <w:sz w:val="24"/>
                  <w:szCs w:val="24"/>
                </w:rPr>
                <m:t>2</m:t>
              </m:r>
            </m:den>
          </m:f>
          <m:r>
            <w:rPr>
              <w:rFonts w:ascii="Cambria Math" w:hAnsi="Cambria Math" w:cs="Times New Roman"/>
              <w:sz w:val="24"/>
              <w:szCs w:val="24"/>
            </w:rPr>
            <m:t>Ln</m:t>
          </m:r>
          <m:sSup>
            <m:sSupPr>
              <m:ctrlPr>
                <w:rPr>
                  <w:rFonts w:ascii="Cambria Math" w:hAnsi="Cambria Math" w:cs="Times New Roman"/>
                  <w:i/>
                  <w:sz w:val="24"/>
                  <w:szCs w:val="24"/>
                </w:rPr>
              </m:ctrlPr>
            </m:sSupPr>
            <m:e>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it</m:t>
                  </m:r>
                </m:sub>
              </m:sSub>
            </m:e>
            <m:sup>
              <m:r>
                <w:rPr>
                  <w:rFonts w:ascii="Cambria Math" w:hAnsi="Cambria Math" w:cs="Times New Roman"/>
                  <w:sz w:val="24"/>
                  <w:szCs w:val="24"/>
                </w:rPr>
                <m:t>2</m:t>
              </m:r>
            </m:sup>
          </m:sSup>
          <m:r>
            <w:rPr>
              <w:rFonts w:ascii="Cambria Math" w:hAnsi="Cambria Math" w:cs="Times New Roman"/>
              <w:sz w:val="24"/>
              <w:szCs w:val="24"/>
            </w:rPr>
            <m:t>+</m:t>
          </m:r>
          <m:nary>
            <m:naryPr>
              <m:chr m:val="∑"/>
              <m:limLoc m:val="undOvr"/>
              <m:ctrlPr>
                <w:rPr>
                  <w:rFonts w:ascii="Cambria Math" w:hAnsi="Cambria Math" w:cs="Times New Roman"/>
                  <w:i/>
                  <w:sz w:val="24"/>
                  <w:szCs w:val="24"/>
                </w:rPr>
              </m:ctrlPr>
            </m:naryPr>
            <m:sub>
              <m:r>
                <w:rPr>
                  <w:rFonts w:ascii="Cambria Math" w:hAnsi="Cambria Math" w:cs="Times New Roman"/>
                  <w:sz w:val="24"/>
                  <w:szCs w:val="24"/>
                </w:rPr>
                <m:t>k=1</m:t>
              </m:r>
            </m:sub>
            <m:sup>
              <m:r>
                <w:rPr>
                  <w:rFonts w:ascii="Cambria Math" w:hAnsi="Cambria Math" w:cs="Times New Roman"/>
                  <w:sz w:val="24"/>
                  <w:szCs w:val="24"/>
                </w:rPr>
                <m:t>3</m:t>
              </m:r>
            </m:sup>
            <m:e>
              <m:sSub>
                <m:sSubPr>
                  <m:ctrlPr>
                    <w:rPr>
                      <w:rFonts w:ascii="Cambria Math" w:hAnsi="Cambria Math" w:cs="Times New Roman"/>
                      <w:i/>
                      <w:sz w:val="24"/>
                      <w:szCs w:val="24"/>
                    </w:rPr>
                  </m:ctrlPr>
                </m:sSubPr>
                <m:e>
                  <m:r>
                    <w:rPr>
                      <w:rFonts w:ascii="Cambria Math" w:hAnsi="Cambria Math" w:cs="Times New Roman"/>
                      <w:sz w:val="24"/>
                      <w:szCs w:val="24"/>
                    </w:rPr>
                    <m:t>γ</m:t>
                  </m:r>
                </m:e>
                <m:sub>
                  <m:r>
                    <w:rPr>
                      <w:rFonts w:ascii="Cambria Math" w:hAnsi="Cambria Math" w:cs="Times New Roman"/>
                      <w:sz w:val="24"/>
                      <w:szCs w:val="24"/>
                    </w:rPr>
                    <m:t>kt</m:t>
                  </m:r>
                </m:sub>
              </m:sSub>
            </m:e>
          </m:nary>
          <m:r>
            <w:rPr>
              <w:rFonts w:ascii="Cambria Math" w:hAnsi="Cambria Math" w:cs="Times New Roman"/>
              <w:sz w:val="24"/>
              <w:szCs w:val="24"/>
            </w:rPr>
            <m:t>ln</m:t>
          </m:r>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k,it</m:t>
              </m:r>
            </m:sub>
          </m:sSub>
          <m:r>
            <w:rPr>
              <w:rFonts w:ascii="Cambria Math" w:hAnsi="Cambria Math" w:cs="Times New Roman"/>
              <w:sz w:val="24"/>
              <w:szCs w:val="24"/>
            </w:rPr>
            <m:t>+</m:t>
          </m:r>
          <m:nary>
            <m:naryPr>
              <m:chr m:val="∑"/>
              <m:limLoc m:val="undOvr"/>
              <m:ctrlPr>
                <w:rPr>
                  <w:rFonts w:ascii="Cambria Math" w:hAnsi="Cambria Math" w:cs="Times New Roman"/>
                  <w:i/>
                  <w:sz w:val="24"/>
                  <w:szCs w:val="24"/>
                </w:rPr>
              </m:ctrlPr>
            </m:naryPr>
            <m:sub>
              <m:r>
                <w:rPr>
                  <w:rFonts w:ascii="Cambria Math" w:hAnsi="Cambria Math" w:cs="Times New Roman"/>
                  <w:sz w:val="24"/>
                  <w:szCs w:val="24"/>
                </w:rPr>
                <m:t>k=1</m:t>
              </m:r>
            </m:sub>
            <m:sup>
              <m:r>
                <w:rPr>
                  <w:rFonts w:ascii="Cambria Math" w:hAnsi="Cambria Math" w:cs="Times New Roman"/>
                  <w:sz w:val="24"/>
                  <w:szCs w:val="24"/>
                </w:rPr>
                <m:t>3</m:t>
              </m:r>
            </m:sup>
            <m:e>
              <m:sSub>
                <m:sSubPr>
                  <m:ctrlPr>
                    <w:rPr>
                      <w:rFonts w:ascii="Cambria Math" w:hAnsi="Cambria Math" w:cs="Times New Roman"/>
                      <w:i/>
                      <w:sz w:val="24"/>
                      <w:szCs w:val="24"/>
                    </w:rPr>
                  </m:ctrlPr>
                </m:sSubPr>
                <m:e>
                  <m:r>
                    <w:rPr>
                      <w:rFonts w:ascii="Cambria Math" w:hAnsi="Cambria Math" w:cs="Times New Roman"/>
                      <w:sz w:val="24"/>
                      <w:szCs w:val="24"/>
                    </w:rPr>
                    <m:t>∅</m:t>
                  </m:r>
                </m:e>
                <m:sub>
                  <m:r>
                    <w:rPr>
                      <w:rFonts w:ascii="Cambria Math" w:hAnsi="Cambria Math" w:cs="Times New Roman"/>
                      <w:sz w:val="24"/>
                      <w:szCs w:val="24"/>
                    </w:rPr>
                    <m:t>kt</m:t>
                  </m:r>
                </m:sub>
              </m:sSub>
            </m:e>
          </m:nary>
          <m:r>
            <w:rPr>
              <w:rFonts w:ascii="Cambria Math" w:hAnsi="Cambria Math" w:cs="Times New Roman"/>
              <w:sz w:val="24"/>
              <w:szCs w:val="24"/>
            </w:rPr>
            <m:t>Ln</m:t>
          </m:r>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it</m:t>
              </m:r>
            </m:sub>
          </m:sSub>
          <m:r>
            <w:rPr>
              <w:rFonts w:ascii="Cambria Math" w:hAnsi="Cambria Math" w:cs="Times New Roman"/>
              <w:sz w:val="24"/>
              <w:szCs w:val="24"/>
            </w:rPr>
            <m:t>ln</m:t>
          </m:r>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k,it</m:t>
              </m:r>
            </m:sub>
          </m:sSub>
          <m:r>
            <w:rPr>
              <w:rFonts w:ascii="Cambria Math" w:hAnsi="Cambria Math" w:cs="Times New Roman"/>
              <w:sz w:val="24"/>
              <w:szCs w:val="24"/>
            </w:rPr>
            <m:t>+</m:t>
          </m:r>
          <m:nary>
            <m:naryPr>
              <m:chr m:val="∑"/>
              <m:limLoc m:val="undOvr"/>
              <m:ctrlPr>
                <w:rPr>
                  <w:rFonts w:ascii="Cambria Math" w:hAnsi="Cambria Math" w:cs="Times New Roman"/>
                  <w:i/>
                  <w:sz w:val="24"/>
                  <w:szCs w:val="24"/>
                </w:rPr>
              </m:ctrlPr>
            </m:naryPr>
            <m:sub>
              <m:r>
                <w:rPr>
                  <w:rFonts w:ascii="Cambria Math" w:hAnsi="Cambria Math" w:cs="Times New Roman"/>
                  <w:sz w:val="24"/>
                  <w:szCs w:val="24"/>
                </w:rPr>
                <m:t>k=1</m:t>
              </m:r>
            </m:sub>
            <m:sup>
              <m:r>
                <w:rPr>
                  <w:rFonts w:ascii="Cambria Math" w:hAnsi="Cambria Math" w:cs="Times New Roman"/>
                  <w:sz w:val="24"/>
                  <w:szCs w:val="24"/>
                </w:rPr>
                <m:t>3</m:t>
              </m:r>
            </m:sup>
            <m:e>
              <m:nary>
                <m:naryPr>
                  <m:chr m:val="∑"/>
                  <m:limLoc m:val="undOvr"/>
                  <m:ctrlPr>
                    <w:rPr>
                      <w:rFonts w:ascii="Cambria Math" w:hAnsi="Cambria Math" w:cs="Times New Roman"/>
                      <w:i/>
                      <w:sz w:val="24"/>
                      <w:szCs w:val="24"/>
                    </w:rPr>
                  </m:ctrlPr>
                </m:naryPr>
                <m:sub>
                  <m:r>
                    <w:rPr>
                      <w:rFonts w:ascii="Cambria Math" w:hAnsi="Cambria Math" w:cs="Times New Roman"/>
                      <w:sz w:val="24"/>
                      <w:szCs w:val="24"/>
                    </w:rPr>
                    <m:t>j=1</m:t>
                  </m:r>
                </m:sub>
                <m:sup>
                  <m:r>
                    <w:rPr>
                      <w:rFonts w:ascii="Cambria Math" w:hAnsi="Cambria Math" w:cs="Times New Roman"/>
                      <w:sz w:val="24"/>
                      <w:szCs w:val="24"/>
                    </w:rPr>
                    <m:t>3</m:t>
                  </m:r>
                </m:sup>
                <m:e>
                  <m:r>
                    <w:rPr>
                      <w:rFonts w:ascii="Cambria Math" w:hAnsi="Cambria Math" w:cs="Times New Roman"/>
                      <w:sz w:val="24"/>
                      <w:szCs w:val="24"/>
                    </w:rPr>
                    <m:t>Ln</m:t>
                  </m:r>
                </m:e>
              </m:nary>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k,it</m:t>
                  </m:r>
                </m:sub>
              </m:sSub>
            </m:e>
          </m:nary>
          <m:r>
            <w:rPr>
              <w:rFonts w:ascii="Cambria Math" w:hAnsi="Cambria Math" w:cs="Times New Roman"/>
              <w:sz w:val="24"/>
              <w:szCs w:val="24"/>
            </w:rPr>
            <m:t>ln</m:t>
          </m:r>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j,it</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it</m:t>
              </m:r>
            </m:sub>
          </m:sSub>
        </m:oMath>
      </m:oMathPara>
    </w:p>
    <w:p w:rsidR="00116C91" w:rsidRDefault="00116C91" w:rsidP="00116C91">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11100" w:rsidRPr="00A6160A">
        <w:rPr>
          <w:rFonts w:ascii="Times New Roman" w:hAnsi="Times New Roman" w:cs="Times New Roman"/>
          <w:sz w:val="24"/>
          <w:szCs w:val="24"/>
        </w:rPr>
        <w:t>(2</w:t>
      </w:r>
      <w:r>
        <w:rPr>
          <w:rFonts w:ascii="Times New Roman" w:hAnsi="Times New Roman" w:cs="Times New Roman"/>
          <w:sz w:val="24"/>
          <w:szCs w:val="24"/>
        </w:rPr>
        <w:t>)</w:t>
      </w:r>
    </w:p>
    <w:p w:rsidR="00463465" w:rsidRDefault="00711100" w:rsidP="00463465">
      <w:pPr>
        <w:rPr>
          <w:rFonts w:ascii="Times New Roman" w:hAnsi="Times New Roman" w:cs="Times New Roman"/>
          <w:sz w:val="24"/>
          <w:szCs w:val="24"/>
        </w:rPr>
      </w:pPr>
      <w:r w:rsidRPr="00A6160A">
        <w:rPr>
          <w:rFonts w:ascii="Times New Roman" w:hAnsi="Times New Roman" w:cs="Times New Roman"/>
          <w:sz w:val="24"/>
          <w:szCs w:val="24"/>
        </w:rPr>
        <w:t xml:space="preserve">Where </w:t>
      </w:r>
      <m:oMath>
        <m:sSub>
          <m:sSubPr>
            <m:ctrlPr>
              <w:rPr>
                <w:rFonts w:ascii="Cambria Math" w:hAnsi="Cambria Math" w:cs="Times New Roman"/>
                <w:i/>
                <w:sz w:val="24"/>
                <w:szCs w:val="24"/>
              </w:rPr>
            </m:ctrlPr>
          </m:sSubPr>
          <m:e>
            <m:r>
              <w:rPr>
                <w:rFonts w:ascii="Cambria Math" w:hAnsi="Cambria Math" w:cs="Times New Roman"/>
                <w:sz w:val="24"/>
                <w:szCs w:val="24"/>
              </w:rPr>
              <m:t>LnCost</m:t>
            </m:r>
          </m:e>
          <m:sub>
            <m:r>
              <w:rPr>
                <w:rFonts w:ascii="Cambria Math" w:hAnsi="Cambria Math" w:cs="Times New Roman"/>
                <w:sz w:val="24"/>
                <w:szCs w:val="24"/>
              </w:rPr>
              <m:t>it</m:t>
            </m:r>
          </m:sub>
        </m:sSub>
      </m:oMath>
      <w:r w:rsidRPr="00A6160A">
        <w:rPr>
          <w:rFonts w:ascii="Times New Roman" w:hAnsi="Times New Roman" w:cs="Times New Roman"/>
          <w:sz w:val="24"/>
          <w:szCs w:val="24"/>
        </w:rPr>
        <w:t xml:space="preserve"> represent total bank cost </w:t>
      </w:r>
      <w:r w:rsidR="00116C91">
        <w:rPr>
          <w:rFonts w:ascii="Times New Roman" w:hAnsi="Times New Roman" w:cs="Times New Roman"/>
          <w:sz w:val="24"/>
          <w:szCs w:val="24"/>
        </w:rPr>
        <w:t>for</w:t>
      </w:r>
      <w:r w:rsidR="00116C91" w:rsidRPr="00116C91">
        <w:rPr>
          <w:rFonts w:ascii="Times New Roman" w:hAnsi="Times New Roman" w:cs="Times New Roman"/>
          <w:sz w:val="24"/>
          <w:szCs w:val="24"/>
        </w:rPr>
        <w:t xml:space="preserve"> </w:t>
      </w:r>
      <w:r w:rsidR="00116C91" w:rsidRPr="00A6160A">
        <w:rPr>
          <w:rFonts w:ascii="Times New Roman" w:hAnsi="Times New Roman" w:cs="Times New Roman"/>
          <w:sz w:val="24"/>
          <w:szCs w:val="24"/>
        </w:rPr>
        <w:t xml:space="preserve">bank </w:t>
      </w:r>
      <m:oMath>
        <m:r>
          <w:rPr>
            <w:rFonts w:ascii="Cambria Math" w:hAnsi="Cambria Math" w:cs="Times New Roman"/>
            <w:sz w:val="24"/>
            <w:szCs w:val="24"/>
          </w:rPr>
          <m:t>i</m:t>
        </m:r>
      </m:oMath>
      <w:r w:rsidR="00116C91" w:rsidRPr="00A6160A">
        <w:rPr>
          <w:rFonts w:ascii="Times New Roman" w:hAnsi="Times New Roman" w:cs="Times New Roman"/>
          <w:sz w:val="24"/>
          <w:szCs w:val="24"/>
        </w:rPr>
        <w:t xml:space="preserve"> at time </w:t>
      </w:r>
      <m:oMath>
        <m:r>
          <w:rPr>
            <w:rFonts w:ascii="Cambria Math" w:hAnsi="Cambria Math" w:cs="Times New Roman"/>
            <w:sz w:val="24"/>
            <w:szCs w:val="24"/>
          </w:rPr>
          <m:t>t</m:t>
        </m:r>
      </m:oMath>
      <w:r w:rsidR="00463465">
        <w:rPr>
          <w:rFonts w:ascii="Times New Roman" w:hAnsi="Times New Roman" w:cs="Times New Roman"/>
          <w:sz w:val="24"/>
          <w:szCs w:val="24"/>
        </w:rPr>
        <w:t xml:space="preserve">, </w:t>
      </w:r>
      <w:r w:rsidRPr="00A6160A">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it</m:t>
            </m:r>
          </m:sub>
        </m:sSub>
      </m:oMath>
      <w:r w:rsidRPr="00A6160A">
        <w:rPr>
          <w:rFonts w:ascii="Times New Roman" w:hAnsi="Times New Roman" w:cs="Times New Roman"/>
          <w:sz w:val="24"/>
          <w:szCs w:val="24"/>
        </w:rPr>
        <w:t xml:space="preserve"> </w:t>
      </w:r>
      <w:r w:rsidR="00E8484D" w:rsidRPr="00A6160A">
        <w:rPr>
          <w:rFonts w:ascii="Times New Roman" w:hAnsi="Times New Roman" w:cs="Times New Roman"/>
          <w:sz w:val="24"/>
          <w:szCs w:val="24"/>
        </w:rPr>
        <w:t xml:space="preserve">denotes </w:t>
      </w:r>
      <w:r w:rsidR="00E8484D" w:rsidRPr="00A6160A">
        <w:rPr>
          <w:rFonts w:ascii="Times New Roman" w:hAnsi="Times New Roman" w:cs="Times New Roman"/>
          <w:color w:val="000000" w:themeColor="text1"/>
          <w:sz w:val="24"/>
          <w:szCs w:val="24"/>
          <w:shd w:val="clear" w:color="auto" w:fill="FFFFFF"/>
        </w:rPr>
        <w:t>real total earning assets</w:t>
      </w:r>
      <w:r w:rsidRPr="00A6160A">
        <w:rPr>
          <w:rFonts w:ascii="Times New Roman" w:hAnsi="Times New Roman" w:cs="Times New Roman"/>
          <w:sz w:val="24"/>
          <w:szCs w:val="24"/>
        </w:rPr>
        <w:t xml:space="preserve">, and </w:t>
      </w:r>
      <m:oMath>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k, it</m:t>
            </m:r>
          </m:sub>
        </m:sSub>
      </m:oMath>
      <w:r w:rsidR="00463465">
        <w:rPr>
          <w:rFonts w:ascii="Times New Roman" w:hAnsi="Times New Roman" w:cs="Times New Roman"/>
          <w:sz w:val="24"/>
          <w:szCs w:val="24"/>
        </w:rPr>
        <w:t xml:space="preserve"> are the three input prices </w:t>
      </w:r>
      <w:r w:rsidR="00721CFF">
        <w:rPr>
          <w:rFonts w:ascii="Times New Roman" w:hAnsi="Times New Roman" w:cs="Times New Roman"/>
          <w:sz w:val="24"/>
          <w:szCs w:val="24"/>
        </w:rPr>
        <w:t>emulating</w:t>
      </w:r>
      <w:r w:rsidR="00463465">
        <w:rPr>
          <w:rFonts w:ascii="Times New Roman" w:hAnsi="Times New Roman" w:cs="Times New Roman"/>
          <w:sz w:val="24"/>
          <w:szCs w:val="24"/>
        </w:rPr>
        <w:t xml:space="preserve"> </w:t>
      </w:r>
      <w:r w:rsidR="00463465" w:rsidRPr="00A6160A">
        <w:rPr>
          <w:rFonts w:ascii="Times New Roman" w:hAnsi="Times New Roman" w:cs="Times New Roman"/>
          <w:sz w:val="24"/>
          <w:szCs w:val="24"/>
        </w:rPr>
        <w:t xml:space="preserve"> the price of </w:t>
      </w:r>
      <w:r w:rsidR="00463465">
        <w:rPr>
          <w:rFonts w:ascii="Times New Roman" w:hAnsi="Times New Roman" w:cs="Times New Roman"/>
          <w:sz w:val="24"/>
          <w:szCs w:val="24"/>
        </w:rPr>
        <w:t>labour</w:t>
      </w:r>
      <w:r w:rsidRPr="00A6160A">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1</m:t>
            </m:r>
          </m:sub>
        </m:sSub>
      </m:oMath>
      <w:r w:rsidR="00463465">
        <w:rPr>
          <w:rFonts w:ascii="Times New Roman" w:hAnsi="Times New Roman" w:cs="Times New Roman"/>
          <w:sz w:val="24"/>
          <w:szCs w:val="24"/>
        </w:rPr>
        <w:t xml:space="preserve"> </w:t>
      </w:r>
      <w:r w:rsidR="00116C91">
        <w:rPr>
          <w:rFonts w:ascii="Times New Roman" w:hAnsi="Times New Roman" w:cs="Times New Roman"/>
          <w:sz w:val="24"/>
          <w:szCs w:val="24"/>
        </w:rPr>
        <w:t>,</w:t>
      </w:r>
      <w:r w:rsidRPr="00A6160A">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2</m:t>
            </m:r>
          </m:sub>
        </m:sSub>
      </m:oMath>
      <w:r w:rsidR="005065A2" w:rsidRPr="00A6160A">
        <w:rPr>
          <w:rFonts w:ascii="Times New Roman" w:hAnsi="Times New Roman" w:cs="Times New Roman"/>
          <w:sz w:val="24"/>
          <w:szCs w:val="24"/>
        </w:rPr>
        <w:t xml:space="preserve"> </w:t>
      </w:r>
      <w:r w:rsidRPr="00A6160A">
        <w:rPr>
          <w:rFonts w:ascii="Times New Roman" w:hAnsi="Times New Roman" w:cs="Times New Roman"/>
          <w:sz w:val="24"/>
          <w:szCs w:val="24"/>
        </w:rPr>
        <w:t>th</w:t>
      </w:r>
      <w:r w:rsidR="00116C91">
        <w:rPr>
          <w:rFonts w:ascii="Times New Roman" w:hAnsi="Times New Roman" w:cs="Times New Roman"/>
          <w:sz w:val="24"/>
          <w:szCs w:val="24"/>
        </w:rPr>
        <w:t>e price of physical capital</w:t>
      </w:r>
      <w:r w:rsidRPr="00A6160A">
        <w:rPr>
          <w:rFonts w:ascii="Times New Roman" w:hAnsi="Times New Roman" w:cs="Times New Roman"/>
          <w:sz w:val="24"/>
          <w:szCs w:val="24"/>
        </w:rPr>
        <w:t xml:space="preserve">, and </w:t>
      </w:r>
      <m:oMath>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3</m:t>
            </m:r>
          </m:sub>
        </m:sSub>
      </m:oMath>
      <w:r w:rsidR="00116C91">
        <w:rPr>
          <w:rFonts w:ascii="Times New Roman" w:hAnsi="Times New Roman" w:cs="Times New Roman"/>
          <w:sz w:val="24"/>
          <w:szCs w:val="24"/>
        </w:rPr>
        <w:t xml:space="preserve"> </w:t>
      </w:r>
      <w:r w:rsidR="00463465">
        <w:rPr>
          <w:rFonts w:ascii="Times New Roman" w:hAnsi="Times New Roman" w:cs="Times New Roman"/>
          <w:sz w:val="24"/>
          <w:szCs w:val="24"/>
        </w:rPr>
        <w:t xml:space="preserve">the price of deposits. Marginal cost used in equation (1) is then calculated as: </w:t>
      </w:r>
    </w:p>
    <w:p w:rsidR="00463465" w:rsidRPr="00103BFD" w:rsidRDefault="001530B6" w:rsidP="001530B6">
      <w:pPr>
        <w:rPr>
          <w:rFonts w:ascii="Times New Roman" w:hAnsi="Times New Roman" w:cs="Times New Roman"/>
          <w:sz w:val="24"/>
          <w:szCs w:val="24"/>
        </w:rPr>
      </w:pPr>
      <m:oMathPara>
        <m:oMath>
          <m:r>
            <w:rPr>
              <w:rFonts w:ascii="Cambria Math" w:hAnsi="Cambria Math" w:cs="Times New Roman"/>
              <w:sz w:val="24"/>
              <w:szCs w:val="24"/>
            </w:rPr>
            <m:t>M</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it</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Cos</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it</m:t>
                  </m:r>
                </m:sub>
              </m:sSub>
            </m:num>
            <m:den>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it</m:t>
                  </m:r>
                </m:sub>
              </m:sSub>
            </m:den>
          </m:f>
          <m:d>
            <m:dPr>
              <m:begChr m:val="["/>
              <m:endChr m:val="]"/>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2</m:t>
                  </m:r>
                </m:sub>
              </m:sSub>
              <m:r>
                <w:rPr>
                  <w:rFonts w:ascii="Cambria Math" w:hAnsi="Cambria Math" w:cs="Times New Roman"/>
                  <w:sz w:val="24"/>
                  <w:szCs w:val="24"/>
                </w:rPr>
                <m:t>Ln</m:t>
              </m:r>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it</m:t>
                  </m:r>
                </m:sub>
              </m:sSub>
              <m:r>
                <w:rPr>
                  <w:rFonts w:ascii="Cambria Math" w:hAnsi="Cambria Math" w:cs="Times New Roman"/>
                  <w:sz w:val="24"/>
                  <w:szCs w:val="24"/>
                </w:rPr>
                <m:t>+</m:t>
              </m:r>
              <m:nary>
                <m:naryPr>
                  <m:chr m:val="∑"/>
                  <m:limLoc m:val="undOvr"/>
                  <m:ctrlPr>
                    <w:rPr>
                      <w:rFonts w:ascii="Cambria Math" w:hAnsi="Cambria Math" w:cs="Times New Roman"/>
                      <w:i/>
                      <w:sz w:val="24"/>
                      <w:szCs w:val="24"/>
                    </w:rPr>
                  </m:ctrlPr>
                </m:naryPr>
                <m:sub>
                  <m:r>
                    <w:rPr>
                      <w:rFonts w:ascii="Cambria Math" w:hAnsi="Cambria Math" w:cs="Times New Roman"/>
                      <w:sz w:val="24"/>
                      <w:szCs w:val="24"/>
                    </w:rPr>
                    <m:t>k=1</m:t>
                  </m:r>
                </m:sub>
                <m:sup>
                  <m:r>
                    <w:rPr>
                      <w:rFonts w:ascii="Cambria Math" w:hAnsi="Cambria Math" w:cs="Times New Roman"/>
                      <w:sz w:val="24"/>
                      <w:szCs w:val="24"/>
                    </w:rPr>
                    <m:t>3</m:t>
                  </m:r>
                </m:sup>
                <m:e>
                  <m:sSub>
                    <m:sSubPr>
                      <m:ctrlPr>
                        <w:rPr>
                          <w:rFonts w:ascii="Cambria Math" w:hAnsi="Cambria Math" w:cs="Times New Roman"/>
                          <w:i/>
                          <w:sz w:val="24"/>
                          <w:szCs w:val="24"/>
                        </w:rPr>
                      </m:ctrlPr>
                    </m:sSubPr>
                    <m:e>
                      <m:r>
                        <w:rPr>
                          <w:rFonts w:ascii="Cambria Math" w:hAnsi="Cambria Math" w:cs="Times New Roman"/>
                          <w:sz w:val="24"/>
                          <w:szCs w:val="24"/>
                        </w:rPr>
                        <m:t>ϕ</m:t>
                      </m:r>
                    </m:e>
                    <m:sub>
                      <m:r>
                        <w:rPr>
                          <w:rFonts w:ascii="Cambria Math" w:hAnsi="Cambria Math" w:cs="Times New Roman"/>
                          <w:sz w:val="24"/>
                          <w:szCs w:val="24"/>
                        </w:rPr>
                        <m:t>k</m:t>
                      </m:r>
                    </m:sub>
                  </m:sSub>
                  <m:r>
                    <w:rPr>
                      <w:rFonts w:ascii="Cambria Math" w:hAnsi="Cambria Math" w:cs="Times New Roman"/>
                      <w:sz w:val="24"/>
                      <w:szCs w:val="24"/>
                    </w:rPr>
                    <m:t>Ln</m:t>
                  </m:r>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k,it</m:t>
                      </m:r>
                    </m:sub>
                  </m:sSub>
                </m:e>
              </m:nary>
            </m:e>
          </m:d>
        </m:oMath>
      </m:oMathPara>
    </w:p>
    <w:p w:rsidR="00103BFD" w:rsidRPr="00A6160A" w:rsidRDefault="00103BFD" w:rsidP="001530B6">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p>
    <w:p w:rsidR="00DB0616" w:rsidRPr="00A6160A" w:rsidRDefault="002C3D61" w:rsidP="001530B6">
      <w:pPr>
        <w:ind w:firstLine="720"/>
        <w:rPr>
          <w:rFonts w:ascii="Times New Roman" w:hAnsi="Times New Roman" w:cs="Times New Roman"/>
          <w:sz w:val="24"/>
          <w:szCs w:val="24"/>
        </w:rPr>
      </w:pPr>
      <w:r w:rsidRPr="00A6160A">
        <w:rPr>
          <w:rFonts w:ascii="Times New Roman" w:hAnsi="Times New Roman" w:cs="Times New Roman"/>
          <w:sz w:val="24"/>
          <w:szCs w:val="24"/>
        </w:rPr>
        <w:lastRenderedPageBreak/>
        <w:t>The Lerner Index (LI)</w:t>
      </w:r>
      <w:r w:rsidR="008C33DD" w:rsidRPr="00A6160A">
        <w:rPr>
          <w:rFonts w:ascii="Times New Roman" w:hAnsi="Times New Roman" w:cs="Times New Roman"/>
          <w:sz w:val="24"/>
          <w:szCs w:val="24"/>
        </w:rPr>
        <w:t xml:space="preserve"> ranges between zero and one, and when price is equal to marginal cost, the Lerner Index is equal to zero and the organization has no valuing control. A result of LI closer to one signifies the higher mark-up of the </w:t>
      </w:r>
      <w:r w:rsidR="00C733BB" w:rsidRPr="00A6160A">
        <w:rPr>
          <w:rFonts w:ascii="Times New Roman" w:hAnsi="Times New Roman" w:cs="Times New Roman"/>
          <w:sz w:val="24"/>
          <w:szCs w:val="24"/>
        </w:rPr>
        <w:t xml:space="preserve">price above marginal cost, meaning market power for the organization (Lerner, 1934). </w:t>
      </w:r>
      <w:r w:rsidRPr="00A6160A">
        <w:rPr>
          <w:rFonts w:ascii="Times New Roman" w:hAnsi="Times New Roman" w:cs="Times New Roman"/>
          <w:sz w:val="24"/>
          <w:szCs w:val="24"/>
        </w:rPr>
        <w:t xml:space="preserve">Commonly, </w:t>
      </w:r>
      <w:r w:rsidR="008C33DD" w:rsidRPr="00A6160A">
        <w:rPr>
          <w:rFonts w:ascii="Times New Roman" w:hAnsi="Times New Roman" w:cs="Times New Roman"/>
          <w:sz w:val="24"/>
          <w:szCs w:val="24"/>
        </w:rPr>
        <w:t xml:space="preserve">LI equal to zero specifies perfect competition, </w:t>
      </w:r>
      <w:r w:rsidR="00C733BB" w:rsidRPr="00A6160A">
        <w:rPr>
          <w:rFonts w:ascii="Times New Roman" w:hAnsi="Times New Roman" w:cs="Times New Roman"/>
          <w:sz w:val="24"/>
          <w:szCs w:val="24"/>
        </w:rPr>
        <w:t>whereas LI</w:t>
      </w:r>
      <w:r w:rsidR="008C33DD" w:rsidRPr="00A6160A">
        <w:rPr>
          <w:rFonts w:ascii="Times New Roman" w:hAnsi="Times New Roman" w:cs="Times New Roman"/>
          <w:sz w:val="24"/>
          <w:szCs w:val="24"/>
        </w:rPr>
        <w:t xml:space="preserve"> equal </w:t>
      </w:r>
      <w:r w:rsidR="00C733BB" w:rsidRPr="00A6160A">
        <w:rPr>
          <w:rFonts w:ascii="Times New Roman" w:hAnsi="Times New Roman" w:cs="Times New Roman"/>
          <w:sz w:val="24"/>
          <w:szCs w:val="24"/>
        </w:rPr>
        <w:t xml:space="preserve">to one specifies monopoly power. </w:t>
      </w:r>
      <w:r w:rsidR="009066CB" w:rsidRPr="00A6160A">
        <w:rPr>
          <w:rFonts w:ascii="Times New Roman" w:hAnsi="Times New Roman" w:cs="Times New Roman"/>
          <w:sz w:val="24"/>
          <w:szCs w:val="24"/>
        </w:rPr>
        <w:t xml:space="preserve"> Thus, a greater LI points to lower levels of competition.</w:t>
      </w:r>
      <w:r w:rsidR="00714BBA" w:rsidRPr="00A6160A">
        <w:rPr>
          <w:rFonts w:ascii="Times New Roman" w:hAnsi="Times New Roman" w:cs="Times New Roman"/>
          <w:color w:val="000000" w:themeColor="text1"/>
          <w:sz w:val="24"/>
          <w:szCs w:val="24"/>
        </w:rPr>
        <w:t xml:space="preserve"> </w:t>
      </w:r>
    </w:p>
    <w:p w:rsidR="008F315C" w:rsidRPr="00A6160A" w:rsidRDefault="008F315C" w:rsidP="008F315C">
      <w:pPr>
        <w:rPr>
          <w:rFonts w:ascii="Times New Roman" w:hAnsi="Times New Roman" w:cs="Times New Roman"/>
          <w:b/>
          <w:bCs/>
          <w:sz w:val="24"/>
          <w:szCs w:val="24"/>
          <w:u w:val="single"/>
        </w:rPr>
      </w:pPr>
      <w:r w:rsidRPr="00A6160A">
        <w:rPr>
          <w:rFonts w:ascii="Times New Roman" w:hAnsi="Times New Roman" w:cs="Times New Roman"/>
          <w:b/>
          <w:bCs/>
          <w:sz w:val="24"/>
          <w:szCs w:val="24"/>
          <w:u w:val="single"/>
        </w:rPr>
        <w:t>Boone Indicator</w:t>
      </w:r>
    </w:p>
    <w:p w:rsidR="008A5093" w:rsidRPr="00A6160A" w:rsidRDefault="008A5093" w:rsidP="009066CB">
      <w:pPr>
        <w:ind w:firstLine="720"/>
        <w:rPr>
          <w:rFonts w:ascii="Times New Roman" w:hAnsi="Times New Roman" w:cs="Times New Roman"/>
          <w:sz w:val="24"/>
          <w:szCs w:val="24"/>
        </w:rPr>
      </w:pPr>
      <w:r w:rsidRPr="00A6160A">
        <w:rPr>
          <w:rFonts w:ascii="Times New Roman" w:hAnsi="Times New Roman" w:cs="Times New Roman"/>
          <w:sz w:val="24"/>
          <w:szCs w:val="24"/>
        </w:rPr>
        <w:t>The Boone indicator</w:t>
      </w:r>
      <w:r w:rsidR="006005F6" w:rsidRPr="00A6160A">
        <w:rPr>
          <w:rFonts w:ascii="Times New Roman" w:hAnsi="Times New Roman" w:cs="Times New Roman"/>
          <w:sz w:val="24"/>
          <w:szCs w:val="24"/>
        </w:rPr>
        <w:t xml:space="preserve"> proposed by</w:t>
      </w:r>
      <w:r w:rsidR="00047122" w:rsidRPr="00A6160A">
        <w:rPr>
          <w:rFonts w:ascii="Times New Roman" w:hAnsi="Times New Roman" w:cs="Times New Roman"/>
          <w:sz w:val="24"/>
          <w:szCs w:val="24"/>
        </w:rPr>
        <w:t xml:space="preserve"> Boone (2008), </w:t>
      </w:r>
      <w:r w:rsidRPr="00A6160A">
        <w:rPr>
          <w:rFonts w:ascii="Times New Roman" w:hAnsi="Times New Roman" w:cs="Times New Roman"/>
          <w:sz w:val="24"/>
          <w:szCs w:val="24"/>
        </w:rPr>
        <w:t>measures profit elasticity is an approximation of the percentage fall in profits consequential from a one percen</w:t>
      </w:r>
      <w:r w:rsidR="006C4326" w:rsidRPr="00A6160A">
        <w:rPr>
          <w:rFonts w:ascii="Times New Roman" w:hAnsi="Times New Roman" w:cs="Times New Roman"/>
          <w:sz w:val="24"/>
          <w:szCs w:val="24"/>
        </w:rPr>
        <w:t xml:space="preserve">t increase in the marginal cost, and is derived as: </w:t>
      </w:r>
    </w:p>
    <w:p w:rsidR="006C4326" w:rsidRPr="00A6160A" w:rsidRDefault="006C4326" w:rsidP="006C4326">
      <w:pPr>
        <w:ind w:firstLine="720"/>
        <w:rPr>
          <w:rFonts w:ascii="Times New Roman" w:hAnsi="Times New Roman" w:cs="Times New Roman"/>
          <w:sz w:val="24"/>
          <w:szCs w:val="24"/>
        </w:rPr>
      </w:pPr>
      <m:oMathPara>
        <m:oMath>
          <m:r>
            <w:rPr>
              <w:rFonts w:ascii="Cambria Math" w:hAnsi="Cambria Math" w:cs="Times New Roman"/>
              <w:sz w:val="24"/>
              <w:szCs w:val="24"/>
            </w:rPr>
            <m:t xml:space="preserve">Profit elasticity= </m:t>
          </m:r>
          <m:f>
            <m:fPr>
              <m:ctrlPr>
                <w:rPr>
                  <w:rFonts w:ascii="Cambria Math" w:hAnsi="Cambria Math" w:cs="Times New Roman"/>
                  <w:i/>
                  <w:sz w:val="24"/>
                  <w:szCs w:val="24"/>
                </w:rPr>
              </m:ctrlPr>
            </m:fPr>
            <m:num>
              <m:r>
                <w:rPr>
                  <w:rFonts w:ascii="Cambria Math" w:hAnsi="Cambria Math" w:cs="Times New Roman"/>
                  <w:sz w:val="24"/>
                  <w:szCs w:val="24"/>
                </w:rPr>
                <m:t>∂Ln</m:t>
              </m:r>
              <m:sSub>
                <m:sSubPr>
                  <m:ctrlPr>
                    <w:rPr>
                      <w:rFonts w:ascii="Cambria Math" w:hAnsi="Cambria Math" w:cs="Times New Roman"/>
                      <w:i/>
                      <w:sz w:val="24"/>
                      <w:szCs w:val="24"/>
                    </w:rPr>
                  </m:ctrlPr>
                </m:sSubPr>
                <m:e>
                  <m:r>
                    <w:rPr>
                      <w:rFonts w:ascii="Cambria Math" w:hAnsi="Cambria Math" w:cs="Times New Roman"/>
                      <w:sz w:val="24"/>
                      <w:szCs w:val="24"/>
                    </w:rPr>
                    <m:t>π</m:t>
                  </m:r>
                </m:e>
                <m:sub>
                  <m:r>
                    <w:rPr>
                      <w:rFonts w:ascii="Cambria Math" w:hAnsi="Cambria Math" w:cs="Times New Roman"/>
                      <w:sz w:val="24"/>
                      <w:szCs w:val="24"/>
                    </w:rPr>
                    <m:t>i</m:t>
                  </m:r>
                </m:sub>
              </m:sSub>
            </m:num>
            <m:den>
              <m:r>
                <w:rPr>
                  <w:rFonts w:ascii="Cambria Math" w:hAnsi="Cambria Math" w:cs="Times New Roman"/>
                  <w:sz w:val="24"/>
                  <w:szCs w:val="24"/>
                </w:rPr>
                <m:t>∂Ln</m:t>
              </m:r>
              <m:sSub>
                <m:sSubPr>
                  <m:ctrlPr>
                    <w:rPr>
                      <w:rFonts w:ascii="Cambria Math" w:hAnsi="Cambria Math" w:cs="Times New Roman"/>
                      <w:i/>
                      <w:sz w:val="24"/>
                      <w:szCs w:val="24"/>
                    </w:rPr>
                  </m:ctrlPr>
                </m:sSubPr>
                <m:e>
                  <m:r>
                    <w:rPr>
                      <w:rFonts w:ascii="Cambria Math" w:hAnsi="Cambria Math" w:cs="Times New Roman"/>
                      <w:sz w:val="24"/>
                      <w:szCs w:val="24"/>
                    </w:rPr>
                    <m:t>MC</m:t>
                  </m:r>
                </m:e>
                <m:sub>
                  <m:r>
                    <w:rPr>
                      <w:rFonts w:ascii="Cambria Math" w:hAnsi="Cambria Math" w:cs="Times New Roman"/>
                      <w:sz w:val="24"/>
                      <w:szCs w:val="24"/>
                    </w:rPr>
                    <m:t>it</m:t>
                  </m:r>
                </m:sub>
              </m:sSub>
            </m:den>
          </m:f>
        </m:oMath>
      </m:oMathPara>
    </w:p>
    <w:p w:rsidR="009066CB" w:rsidRPr="00A6160A" w:rsidRDefault="00103BFD" w:rsidP="009066CB">
      <w:pPr>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w:t>
      </w:r>
      <w:r w:rsidR="006C4326" w:rsidRPr="00A6160A">
        <w:rPr>
          <w:rFonts w:ascii="Times New Roman" w:hAnsi="Times New Roman" w:cs="Times New Roman"/>
          <w:sz w:val="24"/>
          <w:szCs w:val="24"/>
        </w:rPr>
        <w:t>)</w:t>
      </w:r>
    </w:p>
    <w:p w:rsidR="00EF1B79" w:rsidRPr="00A6160A" w:rsidRDefault="0057257A" w:rsidP="00EF1B79">
      <w:pPr>
        <w:rPr>
          <w:rFonts w:ascii="Times New Roman" w:hAnsi="Times New Roman" w:cs="Times New Roman"/>
          <w:color w:val="222222"/>
          <w:sz w:val="24"/>
          <w:szCs w:val="24"/>
          <w:shd w:val="clear" w:color="auto" w:fill="FFFFFF"/>
        </w:rPr>
      </w:pPr>
      <w:r w:rsidRPr="00A6160A">
        <w:rPr>
          <w:rFonts w:ascii="Times New Roman" w:hAnsi="Times New Roman" w:cs="Times New Roman"/>
          <w:color w:val="222222"/>
          <w:sz w:val="24"/>
          <w:szCs w:val="24"/>
          <w:shd w:val="clear" w:color="auto" w:fill="FFFFFF"/>
        </w:rPr>
        <w:t>A growth in competition due to either a fall in entry cost or to products converting to closer substitutes will raise the profits of an efficient bank in relation to banks that are less efficient</w:t>
      </w:r>
      <w:r w:rsidR="00EC1BD7" w:rsidRPr="00A6160A">
        <w:rPr>
          <w:rFonts w:ascii="Times New Roman" w:hAnsi="Times New Roman" w:cs="Times New Roman"/>
          <w:color w:val="222222"/>
          <w:sz w:val="24"/>
          <w:szCs w:val="24"/>
          <w:shd w:val="clear" w:color="auto" w:fill="FFFFFF"/>
        </w:rPr>
        <w:t xml:space="preserve"> (Boone, 2008)</w:t>
      </w:r>
      <w:r w:rsidRPr="00A6160A">
        <w:rPr>
          <w:rFonts w:ascii="Times New Roman" w:hAnsi="Times New Roman" w:cs="Times New Roman"/>
          <w:color w:val="222222"/>
          <w:sz w:val="24"/>
          <w:szCs w:val="24"/>
          <w:shd w:val="clear" w:color="auto" w:fill="FFFFFF"/>
        </w:rPr>
        <w:t xml:space="preserve">. Moreover, the </w:t>
      </w:r>
      <w:r w:rsidR="007B7F01" w:rsidRPr="00A6160A">
        <w:rPr>
          <w:rFonts w:ascii="Times New Roman" w:hAnsi="Times New Roman" w:cs="Times New Roman"/>
          <w:color w:val="222222"/>
          <w:sz w:val="24"/>
          <w:szCs w:val="24"/>
          <w:shd w:val="clear" w:color="auto" w:fill="FFFFFF"/>
        </w:rPr>
        <w:t xml:space="preserve">profit </w:t>
      </w:r>
      <w:r w:rsidR="00EC1BD7" w:rsidRPr="00A6160A">
        <w:rPr>
          <w:rFonts w:ascii="Times New Roman" w:hAnsi="Times New Roman" w:cs="Times New Roman"/>
          <w:color w:val="222222"/>
          <w:sz w:val="24"/>
          <w:szCs w:val="24"/>
          <w:shd w:val="clear" w:color="auto" w:fill="FFFFFF"/>
        </w:rPr>
        <w:t>elasticity</w:t>
      </w:r>
      <w:r w:rsidR="005D760B" w:rsidRPr="00A6160A">
        <w:rPr>
          <w:rFonts w:ascii="Times New Roman" w:hAnsi="Times New Roman" w:cs="Times New Roman"/>
          <w:color w:val="222222"/>
          <w:sz w:val="24"/>
          <w:szCs w:val="24"/>
          <w:shd w:val="clear" w:color="auto" w:fill="FFFFFF"/>
        </w:rPr>
        <w:t xml:space="preserve"> </w:t>
      </w:r>
      <w:r w:rsidR="00C9444F" w:rsidRPr="00A6160A">
        <w:rPr>
          <w:rFonts w:ascii="Times New Roman" w:hAnsi="Times New Roman" w:cs="Times New Roman"/>
          <w:color w:val="222222"/>
          <w:sz w:val="24"/>
          <w:szCs w:val="24"/>
          <w:shd w:val="clear" w:color="auto" w:fill="FFFFFF"/>
        </w:rPr>
        <w:t xml:space="preserve">links bank performance </w:t>
      </w:r>
      <w:r w:rsidR="002020AA" w:rsidRPr="00A6160A">
        <w:rPr>
          <w:rFonts w:ascii="Times New Roman" w:hAnsi="Times New Roman" w:cs="Times New Roman"/>
          <w:color w:val="222222"/>
          <w:sz w:val="24"/>
          <w:szCs w:val="24"/>
          <w:shd w:val="clear" w:color="auto" w:fill="FFFFFF"/>
        </w:rPr>
        <w:t>by means of</w:t>
      </w:r>
      <w:r w:rsidR="00C9444F" w:rsidRPr="00A6160A">
        <w:rPr>
          <w:rFonts w:ascii="Times New Roman" w:hAnsi="Times New Roman" w:cs="Times New Roman"/>
          <w:color w:val="222222"/>
          <w:sz w:val="24"/>
          <w:szCs w:val="24"/>
          <w:shd w:val="clear" w:color="auto" w:fill="FFFFFF"/>
        </w:rPr>
        <w:t xml:space="preserve"> </w:t>
      </w:r>
      <w:r w:rsidR="002020AA" w:rsidRPr="00A6160A">
        <w:rPr>
          <w:rFonts w:ascii="Times New Roman" w:hAnsi="Times New Roman" w:cs="Times New Roman"/>
          <w:color w:val="222222"/>
          <w:sz w:val="24"/>
          <w:szCs w:val="24"/>
          <w:shd w:val="clear" w:color="auto" w:fill="FFFFFF"/>
        </w:rPr>
        <w:t>changes in efficiency</w:t>
      </w:r>
      <w:r w:rsidR="007B7F01" w:rsidRPr="00A6160A">
        <w:rPr>
          <w:rFonts w:ascii="Times New Roman" w:hAnsi="Times New Roman" w:cs="Times New Roman"/>
          <w:color w:val="222222"/>
          <w:sz w:val="24"/>
          <w:szCs w:val="24"/>
          <w:shd w:val="clear" w:color="auto" w:fill="FFFFFF"/>
        </w:rPr>
        <w:t xml:space="preserve">. </w:t>
      </w:r>
    </w:p>
    <w:p w:rsidR="00C733BB" w:rsidRPr="00A6160A" w:rsidRDefault="00425171" w:rsidP="00EF1B79">
      <w:pPr>
        <w:ind w:firstLine="720"/>
        <w:rPr>
          <w:rFonts w:ascii="Times New Roman" w:hAnsi="Times New Roman" w:cs="Times New Roman"/>
          <w:color w:val="222222"/>
          <w:sz w:val="24"/>
          <w:szCs w:val="24"/>
          <w:shd w:val="clear" w:color="auto" w:fill="FFFFFF"/>
        </w:rPr>
      </w:pPr>
      <w:r w:rsidRPr="00A6160A">
        <w:rPr>
          <w:rFonts w:ascii="Times New Roman" w:hAnsi="Times New Roman" w:cs="Times New Roman"/>
          <w:color w:val="222222"/>
          <w:sz w:val="24"/>
          <w:szCs w:val="24"/>
          <w:shd w:val="clear" w:color="auto" w:fill="FFFFFF"/>
        </w:rPr>
        <w:t xml:space="preserve">The </w:t>
      </w:r>
      <w:r w:rsidR="006A4EE9" w:rsidRPr="00A6160A">
        <w:rPr>
          <w:rFonts w:ascii="Times New Roman" w:hAnsi="Times New Roman" w:cs="Times New Roman"/>
          <w:color w:val="222222"/>
          <w:sz w:val="24"/>
          <w:szCs w:val="24"/>
          <w:shd w:val="clear" w:color="auto" w:fill="FFFFFF"/>
        </w:rPr>
        <w:t>profit elasticity</w:t>
      </w:r>
      <w:r w:rsidR="00110976" w:rsidRPr="00A6160A">
        <w:rPr>
          <w:rFonts w:ascii="Times New Roman" w:hAnsi="Times New Roman" w:cs="Times New Roman"/>
          <w:color w:val="222222"/>
          <w:sz w:val="24"/>
          <w:szCs w:val="24"/>
          <w:shd w:val="clear" w:color="auto" w:fill="FFFFFF"/>
        </w:rPr>
        <w:t xml:space="preserve"> </w:t>
      </w:r>
      <w:r w:rsidR="00F44C3D" w:rsidRPr="00A6160A">
        <w:rPr>
          <w:rFonts w:ascii="Times New Roman" w:hAnsi="Times New Roman" w:cs="Times New Roman"/>
          <w:color w:val="222222"/>
          <w:sz w:val="24"/>
          <w:szCs w:val="24"/>
          <w:shd w:val="clear" w:color="auto" w:fill="FFFFFF"/>
        </w:rPr>
        <w:t xml:space="preserve">is </w:t>
      </w:r>
      <w:r w:rsidR="00423580" w:rsidRPr="00A6160A">
        <w:rPr>
          <w:rFonts w:ascii="Times New Roman" w:hAnsi="Times New Roman" w:cs="Times New Roman"/>
          <w:color w:val="222222"/>
          <w:sz w:val="24"/>
          <w:szCs w:val="24"/>
          <w:shd w:val="clear" w:color="auto" w:fill="FFFFFF"/>
        </w:rPr>
        <w:t xml:space="preserve">evaluated from the </w:t>
      </w:r>
      <w:r w:rsidR="00E25CF4" w:rsidRPr="00A6160A">
        <w:rPr>
          <w:rFonts w:ascii="Times New Roman" w:hAnsi="Times New Roman" w:cs="Times New Roman"/>
          <w:color w:val="222222"/>
          <w:sz w:val="24"/>
          <w:szCs w:val="24"/>
          <w:shd w:val="clear" w:color="auto" w:fill="FFFFFF"/>
        </w:rPr>
        <w:t xml:space="preserve">following profitability </w:t>
      </w:r>
      <w:r w:rsidR="00B84F8C" w:rsidRPr="00A6160A">
        <w:rPr>
          <w:rFonts w:ascii="Times New Roman" w:hAnsi="Times New Roman" w:cs="Times New Roman"/>
          <w:color w:val="222222"/>
          <w:sz w:val="24"/>
          <w:szCs w:val="24"/>
          <w:shd w:val="clear" w:color="auto" w:fill="FFFFFF"/>
        </w:rPr>
        <w:t>function (Boone</w:t>
      </w:r>
      <w:r w:rsidR="00E57074" w:rsidRPr="00A6160A">
        <w:rPr>
          <w:rFonts w:ascii="Times New Roman" w:hAnsi="Times New Roman" w:cs="Times New Roman"/>
          <w:color w:val="222222"/>
          <w:sz w:val="24"/>
          <w:szCs w:val="24"/>
          <w:shd w:val="clear" w:color="auto" w:fill="FFFFFF"/>
        </w:rPr>
        <w:t xml:space="preserve"> et al, 2005</w:t>
      </w:r>
      <w:r w:rsidR="00B84F8C" w:rsidRPr="00A6160A">
        <w:rPr>
          <w:rFonts w:ascii="Times New Roman" w:hAnsi="Times New Roman" w:cs="Times New Roman"/>
          <w:color w:val="222222"/>
          <w:sz w:val="24"/>
          <w:szCs w:val="24"/>
          <w:shd w:val="clear" w:color="auto" w:fill="FFFFFF"/>
        </w:rPr>
        <w:t>):</w:t>
      </w:r>
    </w:p>
    <w:p w:rsidR="00C733BB" w:rsidRPr="00A6160A" w:rsidRDefault="00B84F8C" w:rsidP="00E57074">
      <w:pPr>
        <w:rPr>
          <w:rFonts w:ascii="Times New Roman" w:hAnsi="Times New Roman" w:cs="Times New Roman"/>
          <w:color w:val="222222"/>
          <w:sz w:val="24"/>
          <w:szCs w:val="24"/>
          <w:shd w:val="clear" w:color="auto" w:fill="FFFFFF"/>
        </w:rPr>
      </w:pPr>
      <m:oMathPara>
        <m:oMath>
          <m:r>
            <w:rPr>
              <w:rFonts w:ascii="Cambria Math" w:hAnsi="Cambria Math" w:cs="Times New Roman"/>
              <w:color w:val="222222"/>
              <w:sz w:val="24"/>
              <w:szCs w:val="24"/>
              <w:shd w:val="clear" w:color="auto" w:fill="FFFFFF"/>
            </w:rPr>
            <m:t>Ln</m:t>
          </m:r>
          <m:sSub>
            <m:sSubPr>
              <m:ctrlPr>
                <w:rPr>
                  <w:rFonts w:ascii="Cambria Math" w:hAnsi="Cambria Math" w:cs="Times New Roman"/>
                  <w:i/>
                  <w:color w:val="222222"/>
                  <w:sz w:val="24"/>
                  <w:szCs w:val="24"/>
                  <w:shd w:val="clear" w:color="auto" w:fill="FFFFFF"/>
                </w:rPr>
              </m:ctrlPr>
            </m:sSubPr>
            <m:e>
              <m:r>
                <w:rPr>
                  <w:rFonts w:ascii="Cambria Math" w:hAnsi="Cambria Math" w:cs="Times New Roman"/>
                  <w:color w:val="222222"/>
                  <w:sz w:val="24"/>
                  <w:szCs w:val="24"/>
                  <w:shd w:val="clear" w:color="auto" w:fill="FFFFFF"/>
                </w:rPr>
                <m:t>π</m:t>
              </m:r>
            </m:e>
            <m:sub>
              <m:r>
                <w:rPr>
                  <w:rFonts w:ascii="Cambria Math" w:hAnsi="Cambria Math" w:cs="Times New Roman"/>
                  <w:color w:val="222222"/>
                  <w:sz w:val="24"/>
                  <w:szCs w:val="24"/>
                  <w:shd w:val="clear" w:color="auto" w:fill="FFFFFF"/>
                </w:rPr>
                <m:t>i</m:t>
              </m:r>
            </m:sub>
          </m:sSub>
          <m:r>
            <w:rPr>
              <w:rFonts w:ascii="Cambria Math" w:hAnsi="Cambria Math" w:cs="Times New Roman"/>
              <w:color w:val="222222"/>
              <w:sz w:val="24"/>
              <w:szCs w:val="24"/>
              <w:shd w:val="clear" w:color="auto" w:fill="FFFFFF"/>
            </w:rPr>
            <m:t>=α+βLn</m:t>
          </m:r>
          <m:sSub>
            <m:sSubPr>
              <m:ctrlPr>
                <w:rPr>
                  <w:rFonts w:ascii="Cambria Math" w:hAnsi="Cambria Math" w:cs="Times New Roman"/>
                  <w:i/>
                  <w:color w:val="222222"/>
                  <w:sz w:val="24"/>
                  <w:szCs w:val="24"/>
                  <w:shd w:val="clear" w:color="auto" w:fill="FFFFFF"/>
                </w:rPr>
              </m:ctrlPr>
            </m:sSubPr>
            <m:e>
              <m:r>
                <w:rPr>
                  <w:rFonts w:ascii="Cambria Math" w:hAnsi="Cambria Math" w:cs="Times New Roman"/>
                  <w:color w:val="222222"/>
                  <w:sz w:val="24"/>
                  <w:szCs w:val="24"/>
                  <w:shd w:val="clear" w:color="auto" w:fill="FFFFFF"/>
                </w:rPr>
                <m:t>MC</m:t>
              </m:r>
            </m:e>
            <m:sub>
              <m:r>
                <w:rPr>
                  <w:rFonts w:ascii="Cambria Math" w:hAnsi="Cambria Math" w:cs="Times New Roman"/>
                  <w:color w:val="222222"/>
                  <w:sz w:val="24"/>
                  <w:szCs w:val="24"/>
                  <w:shd w:val="clear" w:color="auto" w:fill="FFFFFF"/>
                </w:rPr>
                <m:t>it</m:t>
              </m:r>
            </m:sub>
          </m:sSub>
        </m:oMath>
      </m:oMathPara>
    </w:p>
    <w:p w:rsidR="00C733BB" w:rsidRPr="00A6160A" w:rsidRDefault="00103BFD">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t>(5</w:t>
      </w:r>
      <w:r w:rsidR="00B84F8C" w:rsidRPr="00A6160A">
        <w:rPr>
          <w:rFonts w:ascii="Times New Roman" w:hAnsi="Times New Roman" w:cs="Times New Roman"/>
          <w:color w:val="222222"/>
          <w:sz w:val="24"/>
          <w:szCs w:val="24"/>
          <w:shd w:val="clear" w:color="auto" w:fill="FFFFFF"/>
        </w:rPr>
        <w:t>)</w:t>
      </w:r>
    </w:p>
    <w:p w:rsidR="002A79A3" w:rsidRPr="00A6160A" w:rsidRDefault="0097244D" w:rsidP="00E95B2D">
      <w:pPr>
        <w:rPr>
          <w:rFonts w:ascii="Times New Roman" w:hAnsi="Times New Roman" w:cs="Times New Roman"/>
          <w:color w:val="222222"/>
          <w:sz w:val="24"/>
          <w:szCs w:val="24"/>
          <w:shd w:val="clear" w:color="auto" w:fill="FFFFFF"/>
        </w:rPr>
      </w:pPr>
      <w:r w:rsidRPr="00A6160A">
        <w:rPr>
          <w:rFonts w:ascii="Times New Roman" w:hAnsi="Times New Roman" w:cs="Times New Roman"/>
          <w:color w:val="222222"/>
          <w:sz w:val="24"/>
          <w:szCs w:val="24"/>
          <w:shd w:val="clear" w:color="auto" w:fill="FFFFFF"/>
        </w:rPr>
        <w:t xml:space="preserve">The comparative </w:t>
      </w:r>
      <w:r w:rsidR="00120B3B" w:rsidRPr="00A6160A">
        <w:rPr>
          <w:rFonts w:ascii="Times New Roman" w:hAnsi="Times New Roman" w:cs="Times New Roman"/>
          <w:color w:val="222222"/>
          <w:sz w:val="24"/>
          <w:szCs w:val="24"/>
          <w:shd w:val="clear" w:color="auto" w:fill="FFFFFF"/>
        </w:rPr>
        <w:t xml:space="preserve">profit measure of competition is detected by the estimated coefficient </w:t>
      </w:r>
      <w:r w:rsidR="00CC2E29" w:rsidRPr="00A6160A">
        <w:rPr>
          <w:rFonts w:ascii="Times New Roman" w:hAnsi="Times New Roman" w:cs="Times New Roman"/>
          <w:color w:val="222222"/>
          <w:sz w:val="24"/>
          <w:szCs w:val="24"/>
          <w:shd w:val="clear" w:color="auto" w:fill="FFFFFF"/>
        </w:rPr>
        <w:t>β</w:t>
      </w:r>
      <w:r w:rsidR="00E23674" w:rsidRPr="00A6160A">
        <w:rPr>
          <w:rFonts w:ascii="Times New Roman" w:hAnsi="Times New Roman" w:cs="Times New Roman"/>
          <w:color w:val="222222"/>
          <w:sz w:val="24"/>
          <w:szCs w:val="24"/>
          <w:shd w:val="clear" w:color="auto" w:fill="FFFFFF"/>
        </w:rPr>
        <w:t xml:space="preserve"> that should be negative</w:t>
      </w:r>
      <w:r w:rsidR="004913B3" w:rsidRPr="00A6160A">
        <w:rPr>
          <w:rFonts w:ascii="Times New Roman" w:hAnsi="Times New Roman" w:cs="Times New Roman"/>
          <w:color w:val="222222"/>
          <w:sz w:val="24"/>
          <w:szCs w:val="24"/>
          <w:shd w:val="clear" w:color="auto" w:fill="FFFFFF"/>
        </w:rPr>
        <w:t xml:space="preserve">; </w:t>
      </w:r>
      <w:r w:rsidR="005E1F15" w:rsidRPr="00A6160A">
        <w:rPr>
          <w:rFonts w:ascii="Times New Roman" w:hAnsi="Times New Roman" w:cs="Times New Roman"/>
          <w:color w:val="222222"/>
          <w:sz w:val="24"/>
          <w:szCs w:val="24"/>
          <w:shd w:val="clear" w:color="auto" w:fill="FFFFFF"/>
        </w:rPr>
        <w:t>due to profit and marginal cost</w:t>
      </w:r>
      <w:r w:rsidR="00732290" w:rsidRPr="00A6160A">
        <w:rPr>
          <w:rFonts w:ascii="Times New Roman" w:hAnsi="Times New Roman" w:cs="Times New Roman"/>
          <w:color w:val="222222"/>
          <w:sz w:val="24"/>
          <w:szCs w:val="24"/>
          <w:shd w:val="clear" w:color="auto" w:fill="FFFFFF"/>
        </w:rPr>
        <w:t xml:space="preserve"> (proxied efficiency)</w:t>
      </w:r>
      <w:r w:rsidR="005E1F15" w:rsidRPr="00A6160A">
        <w:rPr>
          <w:rFonts w:ascii="Times New Roman" w:hAnsi="Times New Roman" w:cs="Times New Roman"/>
          <w:color w:val="222222"/>
          <w:sz w:val="24"/>
          <w:szCs w:val="24"/>
          <w:shd w:val="clear" w:color="auto" w:fill="FFFFFF"/>
        </w:rPr>
        <w:t xml:space="preserve"> having an </w:t>
      </w:r>
      <w:r w:rsidR="004F1D87" w:rsidRPr="00A6160A">
        <w:rPr>
          <w:rFonts w:ascii="Times New Roman" w:hAnsi="Times New Roman" w:cs="Times New Roman"/>
          <w:color w:val="222222"/>
          <w:sz w:val="24"/>
          <w:szCs w:val="24"/>
          <w:shd w:val="clear" w:color="auto" w:fill="FFFFFF"/>
        </w:rPr>
        <w:t>antagonistic</w:t>
      </w:r>
      <w:r w:rsidR="004913B3" w:rsidRPr="00A6160A">
        <w:rPr>
          <w:rFonts w:ascii="Times New Roman" w:hAnsi="Times New Roman" w:cs="Times New Roman"/>
          <w:color w:val="222222"/>
          <w:sz w:val="24"/>
          <w:szCs w:val="24"/>
          <w:shd w:val="clear" w:color="auto" w:fill="FFFFFF"/>
        </w:rPr>
        <w:t xml:space="preserve"> relationship, </w:t>
      </w:r>
      <w:r w:rsidR="008D0B5A" w:rsidRPr="00A6160A">
        <w:rPr>
          <w:rFonts w:ascii="Times New Roman" w:hAnsi="Times New Roman" w:cs="Times New Roman"/>
          <w:color w:val="222222"/>
          <w:sz w:val="24"/>
          <w:szCs w:val="24"/>
          <w:shd w:val="clear" w:color="auto" w:fill="FFFFFF"/>
        </w:rPr>
        <w:t xml:space="preserve">measures </w:t>
      </w:r>
      <w:r w:rsidR="005772E1" w:rsidRPr="00A6160A">
        <w:rPr>
          <w:rFonts w:ascii="Times New Roman" w:hAnsi="Times New Roman" w:cs="Times New Roman"/>
          <w:color w:val="222222"/>
          <w:sz w:val="24"/>
          <w:szCs w:val="24"/>
          <w:shd w:val="clear" w:color="auto" w:fill="FFFFFF"/>
        </w:rPr>
        <w:t>the percentage decrease (increase)</w:t>
      </w:r>
      <w:r w:rsidR="00145D48" w:rsidRPr="00A6160A">
        <w:rPr>
          <w:rFonts w:ascii="Times New Roman" w:hAnsi="Times New Roman" w:cs="Times New Roman"/>
          <w:color w:val="222222"/>
          <w:sz w:val="24"/>
          <w:szCs w:val="24"/>
          <w:shd w:val="clear" w:color="auto" w:fill="FFFFFF"/>
        </w:rPr>
        <w:t xml:space="preserve"> </w:t>
      </w:r>
      <w:proofErr w:type="gramStart"/>
      <w:r w:rsidR="00145D48" w:rsidRPr="00A6160A">
        <w:rPr>
          <w:rFonts w:ascii="Times New Roman" w:hAnsi="Times New Roman" w:cs="Times New Roman"/>
          <w:color w:val="222222"/>
          <w:sz w:val="24"/>
          <w:szCs w:val="24"/>
          <w:shd w:val="clear" w:color="auto" w:fill="FFFFFF"/>
        </w:rPr>
        <w:t xml:space="preserve">in </w:t>
      </w:r>
      <w:proofErr w:type="gramEnd"/>
      <m:oMath>
        <m:r>
          <w:rPr>
            <w:rFonts w:ascii="Cambria Math" w:hAnsi="Cambria Math" w:cs="Times New Roman"/>
            <w:color w:val="222222"/>
            <w:sz w:val="24"/>
            <w:szCs w:val="24"/>
            <w:shd w:val="clear" w:color="auto" w:fill="FFFFFF"/>
          </w:rPr>
          <m:t>i</m:t>
        </m:r>
      </m:oMath>
      <w:r w:rsidR="00145D48" w:rsidRPr="00A6160A">
        <w:rPr>
          <w:rFonts w:ascii="Times New Roman" w:hAnsi="Times New Roman" w:cs="Times New Roman"/>
          <w:color w:val="222222"/>
          <w:sz w:val="24"/>
          <w:szCs w:val="24"/>
          <w:shd w:val="clear" w:color="auto" w:fill="FFFFFF"/>
        </w:rPr>
        <w:t xml:space="preserve">’s profits </w:t>
      </w:r>
      <w:r w:rsidR="008F667A" w:rsidRPr="00A6160A">
        <w:rPr>
          <w:rFonts w:ascii="Times New Roman" w:hAnsi="Times New Roman" w:cs="Times New Roman"/>
          <w:color w:val="222222"/>
          <w:sz w:val="24"/>
          <w:szCs w:val="24"/>
          <w:shd w:val="clear" w:color="auto" w:fill="FFFFFF"/>
        </w:rPr>
        <w:t xml:space="preserve">if its marginal cost </w:t>
      </w:r>
      <w:r w:rsidR="008B6AA7" w:rsidRPr="00A6160A">
        <w:rPr>
          <w:rFonts w:ascii="Times New Roman" w:hAnsi="Times New Roman" w:cs="Times New Roman"/>
          <w:color w:val="222222"/>
          <w:sz w:val="24"/>
          <w:szCs w:val="24"/>
          <w:shd w:val="clear" w:color="auto" w:fill="FFFFFF"/>
        </w:rPr>
        <w:t>relative to p</w:t>
      </w:r>
      <w:r w:rsidR="00FB4740" w:rsidRPr="00A6160A">
        <w:rPr>
          <w:rFonts w:ascii="Times New Roman" w:hAnsi="Times New Roman" w:cs="Times New Roman"/>
          <w:color w:val="222222"/>
          <w:sz w:val="24"/>
          <w:szCs w:val="24"/>
          <w:shd w:val="clear" w:color="auto" w:fill="FFFFFF"/>
        </w:rPr>
        <w:t>rice (variable cost) increase</w:t>
      </w:r>
      <w:r w:rsidR="008B6AA7" w:rsidRPr="00A6160A">
        <w:rPr>
          <w:rFonts w:ascii="Times New Roman" w:hAnsi="Times New Roman" w:cs="Times New Roman"/>
          <w:color w:val="222222"/>
          <w:sz w:val="24"/>
          <w:szCs w:val="24"/>
          <w:shd w:val="clear" w:color="auto" w:fill="FFFFFF"/>
        </w:rPr>
        <w:t xml:space="preserve"> </w:t>
      </w:r>
      <w:r w:rsidR="00FB4740" w:rsidRPr="00A6160A">
        <w:rPr>
          <w:rFonts w:ascii="Times New Roman" w:hAnsi="Times New Roman" w:cs="Times New Roman"/>
          <w:color w:val="222222"/>
          <w:sz w:val="24"/>
          <w:szCs w:val="24"/>
          <w:shd w:val="clear" w:color="auto" w:fill="FFFFFF"/>
        </w:rPr>
        <w:t>(decrease) by one percent</w:t>
      </w:r>
      <w:r w:rsidR="006A4EE9" w:rsidRPr="00A6160A">
        <w:rPr>
          <w:rFonts w:ascii="Times New Roman" w:hAnsi="Times New Roman" w:cs="Times New Roman"/>
          <w:color w:val="222222"/>
          <w:sz w:val="24"/>
          <w:szCs w:val="24"/>
          <w:shd w:val="clear" w:color="auto" w:fill="FFFFFF"/>
        </w:rPr>
        <w:t xml:space="preserve"> (Boone et al, 2005)</w:t>
      </w:r>
      <w:r w:rsidR="00FB4740" w:rsidRPr="00A6160A">
        <w:rPr>
          <w:rFonts w:ascii="Times New Roman" w:hAnsi="Times New Roman" w:cs="Times New Roman"/>
          <w:color w:val="222222"/>
          <w:sz w:val="24"/>
          <w:szCs w:val="24"/>
          <w:shd w:val="clear" w:color="auto" w:fill="FFFFFF"/>
        </w:rPr>
        <w:t xml:space="preserve">. </w:t>
      </w:r>
      <w:r w:rsidR="009C5226" w:rsidRPr="00A6160A">
        <w:rPr>
          <w:rFonts w:ascii="Times New Roman" w:hAnsi="Times New Roman" w:cs="Times New Roman"/>
          <w:color w:val="222222"/>
          <w:sz w:val="24"/>
          <w:szCs w:val="24"/>
          <w:shd w:val="clear" w:color="auto" w:fill="FFFFFF"/>
        </w:rPr>
        <w:t xml:space="preserve">Hence, a large end result for β </w:t>
      </w:r>
      <w:r w:rsidR="004B72C7" w:rsidRPr="00A6160A">
        <w:rPr>
          <w:rFonts w:ascii="Times New Roman" w:hAnsi="Times New Roman" w:cs="Times New Roman"/>
          <w:color w:val="222222"/>
          <w:sz w:val="24"/>
          <w:szCs w:val="24"/>
          <w:shd w:val="clear" w:color="auto" w:fill="FFFFFF"/>
        </w:rPr>
        <w:t>indicates</w:t>
      </w:r>
      <w:r w:rsidR="00647A7F" w:rsidRPr="00A6160A">
        <w:rPr>
          <w:rFonts w:ascii="Times New Roman" w:hAnsi="Times New Roman" w:cs="Times New Roman"/>
          <w:color w:val="222222"/>
          <w:sz w:val="24"/>
          <w:szCs w:val="24"/>
          <w:shd w:val="clear" w:color="auto" w:fill="FFFFFF"/>
        </w:rPr>
        <w:t xml:space="preserve"> a more competitive </w:t>
      </w:r>
      <w:r w:rsidR="004B19A9" w:rsidRPr="00A6160A">
        <w:rPr>
          <w:rFonts w:ascii="Times New Roman" w:hAnsi="Times New Roman" w:cs="Times New Roman"/>
          <w:color w:val="222222"/>
          <w:sz w:val="24"/>
          <w:szCs w:val="24"/>
          <w:shd w:val="clear" w:color="auto" w:fill="FFFFFF"/>
        </w:rPr>
        <w:t xml:space="preserve">industry, and is regarded as a </w:t>
      </w:r>
      <w:r w:rsidR="005E7E00" w:rsidRPr="00A6160A">
        <w:rPr>
          <w:rFonts w:ascii="Times New Roman" w:hAnsi="Times New Roman" w:cs="Times New Roman"/>
          <w:color w:val="222222"/>
          <w:sz w:val="24"/>
          <w:szCs w:val="24"/>
          <w:shd w:val="clear" w:color="auto" w:fill="FFFFFF"/>
        </w:rPr>
        <w:t>constant</w:t>
      </w:r>
      <w:r w:rsidR="00C93842" w:rsidRPr="00A6160A">
        <w:rPr>
          <w:rFonts w:ascii="Times New Roman" w:hAnsi="Times New Roman" w:cs="Times New Roman"/>
          <w:color w:val="222222"/>
          <w:sz w:val="24"/>
          <w:szCs w:val="24"/>
          <w:shd w:val="clear" w:color="auto" w:fill="FFFFFF"/>
        </w:rPr>
        <w:t xml:space="preserve"> indicator of market power. </w:t>
      </w:r>
      <w:r w:rsidR="006A4EE9" w:rsidRPr="00A6160A">
        <w:rPr>
          <w:rFonts w:ascii="Times New Roman" w:hAnsi="Times New Roman" w:cs="Times New Roman"/>
          <w:color w:val="222222"/>
          <w:sz w:val="24"/>
          <w:szCs w:val="24"/>
          <w:shd w:val="clear" w:color="auto" w:fill="FFFFFF"/>
        </w:rPr>
        <w:t>For example, if β= 0.6, a one percent increase in marginal cost; owing to a fa</w:t>
      </w:r>
      <w:r w:rsidR="00C85A8C" w:rsidRPr="00A6160A">
        <w:rPr>
          <w:rFonts w:ascii="Times New Roman" w:hAnsi="Times New Roman" w:cs="Times New Roman"/>
          <w:color w:val="222222"/>
          <w:sz w:val="24"/>
          <w:szCs w:val="24"/>
          <w:shd w:val="clear" w:color="auto" w:fill="FFFFFF"/>
        </w:rPr>
        <w:t>ll in efficiency level by bank</w:t>
      </w:r>
      <w:r w:rsidR="006A4EE9" w:rsidRPr="00A6160A">
        <w:rPr>
          <w:rFonts w:ascii="Times New Roman" w:hAnsi="Times New Roman" w:cs="Times New Roman"/>
          <w:color w:val="222222"/>
          <w:sz w:val="24"/>
          <w:szCs w:val="24"/>
          <w:shd w:val="clear" w:color="auto" w:fill="FFFFFF"/>
        </w:rPr>
        <w:t xml:space="preserve">, will imply a decrease in profits by 0.6 percent. </w:t>
      </w:r>
      <w:r w:rsidR="00EF1B79" w:rsidRPr="00A6160A">
        <w:rPr>
          <w:rFonts w:ascii="Times New Roman" w:hAnsi="Times New Roman" w:cs="Times New Roman"/>
          <w:color w:val="222222"/>
          <w:sz w:val="24"/>
          <w:szCs w:val="24"/>
          <w:shd w:val="clear" w:color="auto" w:fill="FFFFFF"/>
        </w:rPr>
        <w:t xml:space="preserve">Therefore, Profit elasticity </w:t>
      </w:r>
      <w:r w:rsidR="004E0548" w:rsidRPr="00A6160A">
        <w:rPr>
          <w:rFonts w:ascii="Times New Roman" w:hAnsi="Times New Roman" w:cs="Times New Roman"/>
          <w:color w:val="222222"/>
          <w:sz w:val="24"/>
          <w:szCs w:val="24"/>
          <w:shd w:val="clear" w:color="auto" w:fill="FFFFFF"/>
        </w:rPr>
        <w:t xml:space="preserve">β </w:t>
      </w:r>
      <w:r w:rsidR="00EF1B79" w:rsidRPr="00A6160A">
        <w:rPr>
          <w:rFonts w:ascii="Times New Roman" w:hAnsi="Times New Roman" w:cs="Times New Roman"/>
          <w:color w:val="222222"/>
          <w:sz w:val="24"/>
          <w:szCs w:val="24"/>
          <w:shd w:val="clear" w:color="auto" w:fill="FFFFFF"/>
        </w:rPr>
        <w:t>is a measure of the indirect association between profits and efficiency</w:t>
      </w:r>
      <w:r w:rsidR="001530B6">
        <w:rPr>
          <w:rFonts w:ascii="Times New Roman" w:hAnsi="Times New Roman" w:cs="Times New Roman"/>
          <w:color w:val="222222"/>
          <w:sz w:val="24"/>
          <w:szCs w:val="24"/>
          <w:shd w:val="clear" w:color="auto" w:fill="FFFFFF"/>
        </w:rPr>
        <w:t xml:space="preserve"> (</w:t>
      </w:r>
      <w:r w:rsidR="001530B6" w:rsidRPr="00000014">
        <w:rPr>
          <w:rFonts w:ascii="Times New Roman" w:hAnsi="Times New Roman" w:cs="Times New Roman"/>
          <w:color w:val="000000" w:themeColor="text1"/>
          <w:sz w:val="24"/>
          <w:szCs w:val="24"/>
        </w:rPr>
        <w:t>(</w:t>
      </w:r>
      <w:proofErr w:type="spellStart"/>
      <w:r w:rsidR="001530B6" w:rsidRPr="00000014">
        <w:rPr>
          <w:rFonts w:ascii="Times New Roman" w:hAnsi="Times New Roman" w:cs="Times New Roman"/>
          <w:color w:val="000000" w:themeColor="text1"/>
          <w:sz w:val="24"/>
          <w:szCs w:val="24"/>
        </w:rPr>
        <w:t>Clerides</w:t>
      </w:r>
      <w:proofErr w:type="spellEnd"/>
      <w:r w:rsidR="001530B6" w:rsidRPr="00000014">
        <w:rPr>
          <w:rFonts w:ascii="Times New Roman" w:hAnsi="Times New Roman" w:cs="Times New Roman"/>
          <w:color w:val="000000" w:themeColor="text1"/>
          <w:sz w:val="24"/>
          <w:szCs w:val="24"/>
        </w:rPr>
        <w:t xml:space="preserve"> et al, 2013</w:t>
      </w:r>
      <w:r w:rsidR="001530B6">
        <w:rPr>
          <w:rFonts w:ascii="Times New Roman" w:hAnsi="Times New Roman" w:cs="Times New Roman"/>
          <w:color w:val="000000" w:themeColor="text1"/>
          <w:sz w:val="24"/>
          <w:szCs w:val="24"/>
        </w:rPr>
        <w:t>)</w:t>
      </w:r>
      <w:r w:rsidR="00EF1B79" w:rsidRPr="00A6160A">
        <w:rPr>
          <w:rFonts w:ascii="Times New Roman" w:hAnsi="Times New Roman" w:cs="Times New Roman"/>
          <w:color w:val="222222"/>
          <w:sz w:val="24"/>
          <w:szCs w:val="24"/>
          <w:shd w:val="clear" w:color="auto" w:fill="FFFFFF"/>
        </w:rPr>
        <w:t xml:space="preserve">. </w:t>
      </w:r>
    </w:p>
    <w:p w:rsidR="00145D48" w:rsidRPr="00A6160A" w:rsidRDefault="00EF1B79" w:rsidP="00D86F6C">
      <w:pPr>
        <w:ind w:firstLine="720"/>
        <w:rPr>
          <w:rFonts w:ascii="Times New Roman" w:hAnsi="Times New Roman" w:cs="Times New Roman"/>
          <w:color w:val="222222"/>
          <w:sz w:val="24"/>
          <w:szCs w:val="24"/>
          <w:shd w:val="clear" w:color="auto" w:fill="FFFFFF"/>
        </w:rPr>
      </w:pPr>
      <w:r w:rsidRPr="00A6160A">
        <w:rPr>
          <w:rFonts w:ascii="Times New Roman" w:hAnsi="Times New Roman" w:cs="Times New Roman"/>
          <w:color w:val="222222"/>
          <w:sz w:val="24"/>
          <w:szCs w:val="24"/>
          <w:shd w:val="clear" w:color="auto" w:fill="FFFFFF"/>
        </w:rPr>
        <w:t xml:space="preserve">As the adjusted Lerner Index and profit elasticity are two closely related models I have only included profit elasticity in my analysis alongside the Lerner Index in order to compare </w:t>
      </w:r>
      <w:r w:rsidR="002A79A3" w:rsidRPr="00A6160A">
        <w:rPr>
          <w:rFonts w:ascii="Times New Roman" w:hAnsi="Times New Roman" w:cs="Times New Roman"/>
          <w:color w:val="222222"/>
          <w:sz w:val="24"/>
          <w:szCs w:val="24"/>
          <w:shd w:val="clear" w:color="auto" w:fill="FFFFFF"/>
        </w:rPr>
        <w:t xml:space="preserve">and contrasts the two models with the results obtained from the analysis of the 23 countries, but to also obtain a reliable measure of competition. </w:t>
      </w:r>
      <w:r w:rsidR="004E0548" w:rsidRPr="00A6160A">
        <w:rPr>
          <w:rFonts w:ascii="Times New Roman" w:hAnsi="Times New Roman" w:cs="Times New Roman"/>
          <w:color w:val="222222"/>
          <w:sz w:val="24"/>
          <w:szCs w:val="24"/>
          <w:shd w:val="clear" w:color="auto" w:fill="FFFFFF"/>
        </w:rPr>
        <w:t xml:space="preserve">The Boone indicator was chosen due to the fact that it treats the relationship between cost and profits as monotonic and constant; implying β serves as a constant measure of competition. </w:t>
      </w:r>
    </w:p>
    <w:p w:rsidR="00A6160A" w:rsidRPr="00A6160A" w:rsidRDefault="00A6160A" w:rsidP="00A6160A">
      <w:pPr>
        <w:rPr>
          <w:rFonts w:ascii="Times New Roman" w:hAnsi="Times New Roman" w:cs="Times New Roman"/>
          <w:b/>
          <w:bCs/>
          <w:color w:val="222222"/>
          <w:sz w:val="24"/>
          <w:szCs w:val="24"/>
          <w:u w:val="single"/>
          <w:shd w:val="clear" w:color="auto" w:fill="FFFFFF"/>
        </w:rPr>
      </w:pPr>
      <w:r w:rsidRPr="00A6160A">
        <w:rPr>
          <w:rFonts w:ascii="Times New Roman" w:hAnsi="Times New Roman" w:cs="Times New Roman"/>
          <w:b/>
          <w:bCs/>
          <w:color w:val="222222"/>
          <w:sz w:val="24"/>
          <w:szCs w:val="24"/>
          <w:u w:val="single"/>
          <w:shd w:val="clear" w:color="auto" w:fill="FFFFFF"/>
        </w:rPr>
        <w:t xml:space="preserve">Liquidity Creation </w:t>
      </w:r>
    </w:p>
    <w:p w:rsidR="00A6160A" w:rsidRPr="00A6160A" w:rsidRDefault="00A6160A" w:rsidP="00A6160A">
      <w:pPr>
        <w:rPr>
          <w:rFonts w:ascii="Times New Roman" w:hAnsi="Times New Roman" w:cs="Times New Roman"/>
          <w:b/>
          <w:bCs/>
          <w:color w:val="222222"/>
          <w:sz w:val="24"/>
          <w:szCs w:val="24"/>
          <w:u w:val="single"/>
          <w:shd w:val="clear" w:color="auto" w:fill="FFFFFF"/>
        </w:rPr>
      </w:pPr>
    </w:p>
    <w:p w:rsidR="00B84F8C" w:rsidRPr="00A6160A" w:rsidRDefault="00700048">
      <w:pPr>
        <w:rPr>
          <w:rFonts w:ascii="Times New Roman" w:hAnsi="Times New Roman" w:cs="Times New Roman"/>
          <w:b/>
          <w:bCs/>
          <w:color w:val="222222"/>
          <w:sz w:val="24"/>
          <w:szCs w:val="24"/>
          <w:u w:val="single"/>
          <w:shd w:val="clear" w:color="auto" w:fill="FFFFFF"/>
        </w:rPr>
      </w:pPr>
      <w:r w:rsidRPr="00A6160A">
        <w:rPr>
          <w:rFonts w:ascii="Times New Roman" w:hAnsi="Times New Roman" w:cs="Times New Roman"/>
          <w:b/>
          <w:bCs/>
          <w:color w:val="222222"/>
          <w:sz w:val="24"/>
          <w:szCs w:val="24"/>
          <w:u w:val="single"/>
          <w:shd w:val="clear" w:color="auto" w:fill="FFFFFF"/>
        </w:rPr>
        <w:t>Data</w:t>
      </w:r>
    </w:p>
    <w:p w:rsidR="001E0211" w:rsidRPr="008713C0" w:rsidRDefault="008C1A2A" w:rsidP="00165910">
      <w:pPr>
        <w:ind w:firstLine="720"/>
        <w:rPr>
          <w:rFonts w:ascii="Times New Roman" w:hAnsi="Times New Roman" w:cs="Times New Roman"/>
          <w:color w:val="222222"/>
          <w:sz w:val="24"/>
          <w:szCs w:val="24"/>
          <w:shd w:val="clear" w:color="auto" w:fill="FFFFFF"/>
        </w:rPr>
      </w:pPr>
      <w:r>
        <w:rPr>
          <w:rFonts w:ascii="Times New Roman" w:hAnsi="Times New Roman" w:cs="Times New Roman"/>
          <w:sz w:val="24"/>
          <w:szCs w:val="24"/>
        </w:rPr>
        <w:t>I depend on Fitch-Connect</w:t>
      </w:r>
      <w:r w:rsidR="00A6160A" w:rsidRPr="00A6160A">
        <w:rPr>
          <w:rFonts w:ascii="Times New Roman" w:hAnsi="Times New Roman" w:cs="Times New Roman"/>
          <w:sz w:val="24"/>
          <w:szCs w:val="24"/>
        </w:rPr>
        <w:t xml:space="preserve"> as my primary source of bank level data. The</w:t>
      </w:r>
      <w:r>
        <w:rPr>
          <w:rFonts w:ascii="Times New Roman" w:hAnsi="Times New Roman" w:cs="Times New Roman"/>
          <w:sz w:val="24"/>
          <w:szCs w:val="24"/>
        </w:rPr>
        <w:t xml:space="preserve"> sample covers the period of </w:t>
      </w:r>
      <w:r w:rsidRPr="008C1A2A">
        <w:rPr>
          <w:rFonts w:ascii="Times New Roman" w:hAnsi="Times New Roman" w:cs="Times New Roman"/>
          <w:color w:val="000000" w:themeColor="text1"/>
          <w:sz w:val="24"/>
          <w:szCs w:val="24"/>
        </w:rPr>
        <w:t>200</w:t>
      </w:r>
      <w:r w:rsidR="00A6160A" w:rsidRPr="008C1A2A">
        <w:rPr>
          <w:rFonts w:ascii="Times New Roman" w:hAnsi="Times New Roman" w:cs="Times New Roman"/>
          <w:color w:val="000000" w:themeColor="text1"/>
          <w:sz w:val="24"/>
          <w:szCs w:val="24"/>
        </w:rPr>
        <w:t>7-</w:t>
      </w:r>
      <w:r w:rsidRPr="008C1A2A">
        <w:rPr>
          <w:rFonts w:ascii="Times New Roman" w:hAnsi="Times New Roman" w:cs="Times New Roman"/>
          <w:color w:val="000000" w:themeColor="text1"/>
          <w:sz w:val="24"/>
          <w:szCs w:val="24"/>
        </w:rPr>
        <w:t>2016</w:t>
      </w:r>
      <w:r w:rsidR="00A6160A" w:rsidRPr="00A6160A">
        <w:rPr>
          <w:rFonts w:ascii="Times New Roman" w:hAnsi="Times New Roman" w:cs="Times New Roman"/>
          <w:sz w:val="24"/>
          <w:szCs w:val="24"/>
        </w:rPr>
        <w:t>, since I do not include earlier years due to</w:t>
      </w:r>
      <w:r>
        <w:rPr>
          <w:rFonts w:ascii="Times New Roman" w:hAnsi="Times New Roman" w:cs="Times New Roman"/>
          <w:sz w:val="24"/>
          <w:szCs w:val="24"/>
        </w:rPr>
        <w:t xml:space="preserve"> Fitch-connect only having the last ten years of data available.</w:t>
      </w:r>
      <w:r w:rsidR="00611EE7">
        <w:rPr>
          <w:rFonts w:ascii="Times New Roman" w:hAnsi="Times New Roman" w:cs="Times New Roman"/>
          <w:sz w:val="24"/>
          <w:szCs w:val="24"/>
        </w:rPr>
        <w:t xml:space="preserve"> </w:t>
      </w:r>
      <w:r>
        <w:rPr>
          <w:rFonts w:ascii="Times New Roman" w:hAnsi="Times New Roman" w:cs="Times New Roman"/>
          <w:sz w:val="24"/>
          <w:szCs w:val="24"/>
        </w:rPr>
        <w:t xml:space="preserve">The study </w:t>
      </w:r>
      <w:r w:rsidR="00A6160A" w:rsidRPr="00A6160A">
        <w:rPr>
          <w:rFonts w:ascii="Times New Roman" w:hAnsi="Times New Roman" w:cs="Times New Roman"/>
          <w:sz w:val="24"/>
          <w:szCs w:val="24"/>
        </w:rPr>
        <w:t xml:space="preserve">focus on commercial banks, </w:t>
      </w:r>
      <w:r w:rsidR="00A6160A" w:rsidRPr="008C1A2A">
        <w:rPr>
          <w:rFonts w:ascii="Times New Roman" w:hAnsi="Times New Roman" w:cs="Times New Roman"/>
          <w:color w:val="000000" w:themeColor="text1"/>
          <w:sz w:val="24"/>
          <w:szCs w:val="24"/>
        </w:rPr>
        <w:t>savings banks</w:t>
      </w:r>
      <w:r w:rsidR="00A6160A" w:rsidRPr="00A6160A">
        <w:rPr>
          <w:rFonts w:ascii="Times New Roman" w:hAnsi="Times New Roman" w:cs="Times New Roman"/>
          <w:sz w:val="24"/>
          <w:szCs w:val="24"/>
        </w:rPr>
        <w:t xml:space="preserve">, and cooperative banks, as the focus of the study will be based around banks conducting traditional banking activities. Consequently, I exclude investment banks, estate mortgage banks and other non-banking credit institutions. </w:t>
      </w:r>
      <w:r>
        <w:rPr>
          <w:rFonts w:ascii="Times New Roman" w:hAnsi="Times New Roman" w:cs="Times New Roman"/>
          <w:sz w:val="24"/>
          <w:szCs w:val="24"/>
        </w:rPr>
        <w:t xml:space="preserve">Hence, the study is focused around market power and liquidity creation of </w:t>
      </w:r>
      <w:r w:rsidR="006B534F">
        <w:rPr>
          <w:rFonts w:ascii="Times New Roman" w:hAnsi="Times New Roman" w:cs="Times New Roman"/>
          <w:sz w:val="24"/>
          <w:szCs w:val="24"/>
        </w:rPr>
        <w:t>banks conducting traditional banking activities</w:t>
      </w:r>
      <w:r w:rsidR="00595548">
        <w:rPr>
          <w:rFonts w:ascii="Times New Roman" w:hAnsi="Times New Roman" w:cs="Times New Roman"/>
          <w:sz w:val="24"/>
          <w:szCs w:val="24"/>
        </w:rPr>
        <w:t xml:space="preserve">. </w:t>
      </w:r>
      <w:r w:rsidR="00C01A53">
        <w:rPr>
          <w:rFonts w:ascii="Times New Roman" w:hAnsi="Times New Roman" w:cs="Times New Roman"/>
          <w:color w:val="222222"/>
          <w:sz w:val="24"/>
          <w:szCs w:val="24"/>
          <w:shd w:val="clear" w:color="auto" w:fill="FFFFFF"/>
        </w:rPr>
        <w:t>The initial</w:t>
      </w:r>
      <w:r w:rsidR="00595548">
        <w:rPr>
          <w:rFonts w:ascii="Times New Roman" w:hAnsi="Times New Roman" w:cs="Times New Roman"/>
          <w:color w:val="222222"/>
          <w:sz w:val="24"/>
          <w:szCs w:val="24"/>
          <w:shd w:val="clear" w:color="auto" w:fill="FFFFFF"/>
        </w:rPr>
        <w:t xml:space="preserve"> </w:t>
      </w:r>
      <w:r w:rsidR="00C01A53">
        <w:rPr>
          <w:rFonts w:ascii="Times New Roman" w:hAnsi="Times New Roman" w:cs="Times New Roman"/>
          <w:color w:val="222222"/>
          <w:sz w:val="24"/>
          <w:szCs w:val="24"/>
          <w:shd w:val="clear" w:color="auto" w:fill="FFFFFF"/>
        </w:rPr>
        <w:t xml:space="preserve">sample includes 2,225 commercial banks located in </w:t>
      </w:r>
      <w:r w:rsidR="00595548">
        <w:rPr>
          <w:rFonts w:ascii="Times New Roman" w:hAnsi="Times New Roman" w:cs="Times New Roman"/>
          <w:color w:val="222222"/>
          <w:sz w:val="24"/>
          <w:szCs w:val="24"/>
          <w:shd w:val="clear" w:color="auto" w:fill="FFFFFF"/>
        </w:rPr>
        <w:t>all 26</w:t>
      </w:r>
      <w:r w:rsidR="00C01A53">
        <w:rPr>
          <w:rFonts w:ascii="Times New Roman" w:hAnsi="Times New Roman" w:cs="Times New Roman"/>
          <w:color w:val="222222"/>
          <w:sz w:val="24"/>
          <w:szCs w:val="24"/>
          <w:shd w:val="clear" w:color="auto" w:fill="FFFFFF"/>
        </w:rPr>
        <w:t xml:space="preserve"> European Union countries</w:t>
      </w:r>
      <w:r w:rsidR="00595548">
        <w:rPr>
          <w:rFonts w:ascii="Times New Roman" w:hAnsi="Times New Roman" w:cs="Times New Roman"/>
          <w:color w:val="222222"/>
          <w:sz w:val="24"/>
          <w:szCs w:val="24"/>
          <w:shd w:val="clear" w:color="auto" w:fill="FFFFFF"/>
        </w:rPr>
        <w:t xml:space="preserve"> (</w:t>
      </w:r>
      <w:r w:rsidR="00C01A53">
        <w:rPr>
          <w:rFonts w:ascii="Times New Roman" w:hAnsi="Times New Roman" w:cs="Times New Roman"/>
          <w:color w:val="222222"/>
          <w:sz w:val="24"/>
          <w:szCs w:val="24"/>
          <w:shd w:val="clear" w:color="auto" w:fill="FFFFFF"/>
        </w:rPr>
        <w:t>Lithuania</w:t>
      </w:r>
      <w:r w:rsidR="00595548">
        <w:rPr>
          <w:rFonts w:ascii="Times New Roman" w:hAnsi="Times New Roman" w:cs="Times New Roman"/>
          <w:color w:val="222222"/>
          <w:sz w:val="24"/>
          <w:szCs w:val="24"/>
          <w:shd w:val="clear" w:color="auto" w:fill="FFFFFF"/>
        </w:rPr>
        <w:t xml:space="preserve"> and Malta</w:t>
      </w:r>
      <w:r w:rsidR="00C01A53">
        <w:rPr>
          <w:rFonts w:ascii="Times New Roman" w:hAnsi="Times New Roman" w:cs="Times New Roman"/>
          <w:color w:val="222222"/>
          <w:sz w:val="24"/>
          <w:szCs w:val="24"/>
          <w:shd w:val="clear" w:color="auto" w:fill="FFFFFF"/>
        </w:rPr>
        <w:t xml:space="preserve"> had no banking data available</w:t>
      </w:r>
      <w:r w:rsidR="00595548">
        <w:rPr>
          <w:rFonts w:ascii="Times New Roman" w:hAnsi="Times New Roman" w:cs="Times New Roman"/>
          <w:color w:val="222222"/>
          <w:sz w:val="24"/>
          <w:szCs w:val="24"/>
          <w:shd w:val="clear" w:color="auto" w:fill="FFFFFF"/>
        </w:rPr>
        <w:t>)</w:t>
      </w:r>
      <w:r w:rsidR="00C01A53">
        <w:rPr>
          <w:rFonts w:ascii="Times New Roman" w:hAnsi="Times New Roman" w:cs="Times New Roman"/>
          <w:color w:val="222222"/>
          <w:sz w:val="24"/>
          <w:szCs w:val="24"/>
          <w:shd w:val="clear" w:color="auto" w:fill="FFFFFF"/>
        </w:rPr>
        <w:t>.I apply selection rules to exclude data that is non-representative, minimizing the sample to 1,</w:t>
      </w:r>
      <w:r w:rsidR="00B06631">
        <w:rPr>
          <w:rFonts w:ascii="Times New Roman" w:hAnsi="Times New Roman" w:cs="Times New Roman"/>
          <w:color w:val="222222"/>
          <w:sz w:val="24"/>
          <w:szCs w:val="24"/>
          <w:shd w:val="clear" w:color="auto" w:fill="FFFFFF"/>
        </w:rPr>
        <w:t>793 banks located in 19</w:t>
      </w:r>
      <w:r w:rsidR="00C01A53">
        <w:rPr>
          <w:rFonts w:ascii="Times New Roman" w:hAnsi="Times New Roman" w:cs="Times New Roman"/>
          <w:color w:val="222222"/>
          <w:sz w:val="24"/>
          <w:szCs w:val="24"/>
          <w:shd w:val="clear" w:color="auto" w:fill="FFFFFF"/>
        </w:rPr>
        <w:t xml:space="preserve"> European countries (</w:t>
      </w:r>
      <w:r w:rsidR="00595548">
        <w:rPr>
          <w:rFonts w:ascii="Times New Roman" w:hAnsi="Times New Roman" w:cs="Times New Roman"/>
          <w:color w:val="222222"/>
          <w:sz w:val="24"/>
          <w:szCs w:val="24"/>
          <w:shd w:val="clear" w:color="auto" w:fill="FFFFFF"/>
        </w:rPr>
        <w:t>excluding Bulgaria, Estonia, Latv</w:t>
      </w:r>
      <w:r w:rsidR="00474273">
        <w:rPr>
          <w:rFonts w:ascii="Times New Roman" w:hAnsi="Times New Roman" w:cs="Times New Roman"/>
          <w:color w:val="222222"/>
          <w:sz w:val="24"/>
          <w:szCs w:val="24"/>
          <w:shd w:val="clear" w:color="auto" w:fill="FFFFFF"/>
        </w:rPr>
        <w:t xml:space="preserve">ia, </w:t>
      </w:r>
      <w:r w:rsidR="008469F7">
        <w:rPr>
          <w:rFonts w:ascii="Times New Roman" w:hAnsi="Times New Roman" w:cs="Times New Roman"/>
          <w:color w:val="222222"/>
          <w:sz w:val="24"/>
          <w:szCs w:val="24"/>
          <w:shd w:val="clear" w:color="auto" w:fill="FFFFFF"/>
        </w:rPr>
        <w:t>Ireland, Croatia,</w:t>
      </w:r>
      <w:r w:rsidR="00D70E1A">
        <w:rPr>
          <w:rFonts w:ascii="Times New Roman" w:hAnsi="Times New Roman" w:cs="Times New Roman"/>
          <w:color w:val="222222"/>
          <w:sz w:val="24"/>
          <w:szCs w:val="24"/>
          <w:shd w:val="clear" w:color="auto" w:fill="FFFFFF"/>
        </w:rPr>
        <w:t xml:space="preserve"> </w:t>
      </w:r>
      <w:r w:rsidR="00474273">
        <w:rPr>
          <w:rFonts w:ascii="Times New Roman" w:hAnsi="Times New Roman" w:cs="Times New Roman"/>
          <w:color w:val="222222"/>
          <w:sz w:val="24"/>
          <w:szCs w:val="24"/>
          <w:shd w:val="clear" w:color="auto" w:fill="FFFFFF"/>
        </w:rPr>
        <w:t>Lithuania, Malta,</w:t>
      </w:r>
      <w:r w:rsidR="00EE2256">
        <w:rPr>
          <w:rFonts w:ascii="Times New Roman" w:hAnsi="Times New Roman" w:cs="Times New Roman"/>
          <w:color w:val="222222"/>
          <w:sz w:val="24"/>
          <w:szCs w:val="24"/>
          <w:shd w:val="clear" w:color="auto" w:fill="FFFFFF"/>
        </w:rPr>
        <w:t xml:space="preserve"> Poland,</w:t>
      </w:r>
      <w:r w:rsidR="00474273">
        <w:rPr>
          <w:rFonts w:ascii="Times New Roman" w:hAnsi="Times New Roman" w:cs="Times New Roman"/>
          <w:color w:val="222222"/>
          <w:sz w:val="24"/>
          <w:szCs w:val="24"/>
          <w:shd w:val="clear" w:color="auto" w:fill="FFFFFF"/>
        </w:rPr>
        <w:t xml:space="preserve"> and </w:t>
      </w:r>
      <w:proofErr w:type="spellStart"/>
      <w:r w:rsidR="00474273">
        <w:rPr>
          <w:rFonts w:ascii="Times New Roman" w:hAnsi="Times New Roman" w:cs="Times New Roman"/>
          <w:color w:val="222222"/>
          <w:sz w:val="24"/>
          <w:szCs w:val="24"/>
          <w:shd w:val="clear" w:color="auto" w:fill="FFFFFF"/>
        </w:rPr>
        <w:t>Slovan</w:t>
      </w:r>
      <w:r w:rsidR="00595548">
        <w:rPr>
          <w:rFonts w:ascii="Times New Roman" w:hAnsi="Times New Roman" w:cs="Times New Roman"/>
          <w:color w:val="222222"/>
          <w:sz w:val="24"/>
          <w:szCs w:val="24"/>
          <w:shd w:val="clear" w:color="auto" w:fill="FFFFFF"/>
        </w:rPr>
        <w:t>ia</w:t>
      </w:r>
      <w:proofErr w:type="spellEnd"/>
      <w:r w:rsidR="00595548">
        <w:rPr>
          <w:rFonts w:ascii="Times New Roman" w:hAnsi="Times New Roman" w:cs="Times New Roman"/>
          <w:color w:val="222222"/>
          <w:sz w:val="24"/>
          <w:szCs w:val="24"/>
          <w:shd w:val="clear" w:color="auto" w:fill="FFFFFF"/>
        </w:rPr>
        <w:t>). Explicitly, banks with missing income statement data used in the variables to measure competition and liquidity</w:t>
      </w:r>
      <w:r w:rsidR="00165910">
        <w:rPr>
          <w:rFonts w:ascii="Times New Roman" w:hAnsi="Times New Roman" w:cs="Times New Roman"/>
          <w:color w:val="222222"/>
          <w:sz w:val="24"/>
          <w:szCs w:val="24"/>
          <w:shd w:val="clear" w:color="auto" w:fill="FFFFFF"/>
        </w:rPr>
        <w:t xml:space="preserve"> creation</w:t>
      </w:r>
      <w:r w:rsidR="00595548">
        <w:rPr>
          <w:rFonts w:ascii="Times New Roman" w:hAnsi="Times New Roman" w:cs="Times New Roman"/>
          <w:color w:val="222222"/>
          <w:sz w:val="24"/>
          <w:szCs w:val="24"/>
          <w:shd w:val="clear" w:color="auto" w:fill="FFFFFF"/>
        </w:rPr>
        <w:t xml:space="preserve">. Furthermore, I drop countries from the sample that have less than 3 banks for each year in the variables required for the </w:t>
      </w:r>
      <w:r w:rsidR="001E0211">
        <w:rPr>
          <w:rFonts w:ascii="Times New Roman" w:hAnsi="Times New Roman" w:cs="Times New Roman"/>
          <w:color w:val="222222"/>
          <w:sz w:val="24"/>
          <w:szCs w:val="24"/>
          <w:shd w:val="clear" w:color="auto" w:fill="FFFFFF"/>
        </w:rPr>
        <w:t xml:space="preserve">analysis as seen in Berger et al (2009). </w:t>
      </w:r>
    </w:p>
    <w:p w:rsidR="008F699E" w:rsidRPr="001013ED" w:rsidRDefault="00C01A53" w:rsidP="00165910">
      <w:pPr>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I include </w:t>
      </w:r>
      <w:r w:rsidR="009F134D">
        <w:rPr>
          <w:rFonts w:ascii="Times New Roman" w:hAnsi="Times New Roman" w:cs="Times New Roman"/>
          <w:color w:val="222222"/>
          <w:sz w:val="24"/>
          <w:szCs w:val="24"/>
          <w:shd w:val="clear" w:color="auto" w:fill="FFFFFF"/>
        </w:rPr>
        <w:t>supplementary</w:t>
      </w:r>
      <w:r>
        <w:rPr>
          <w:rFonts w:ascii="Times New Roman" w:hAnsi="Times New Roman" w:cs="Times New Roman"/>
          <w:color w:val="222222"/>
          <w:sz w:val="24"/>
          <w:szCs w:val="24"/>
          <w:shd w:val="clear" w:color="auto" w:fill="FFFFFF"/>
        </w:rPr>
        <w:t xml:space="preserve"> selection rules </w:t>
      </w:r>
      <w:r w:rsidR="001E0211">
        <w:rPr>
          <w:rFonts w:ascii="Times New Roman" w:hAnsi="Times New Roman" w:cs="Times New Roman"/>
          <w:color w:val="222222"/>
          <w:sz w:val="24"/>
          <w:szCs w:val="24"/>
          <w:shd w:val="clear" w:color="auto" w:fill="FFFFFF"/>
        </w:rPr>
        <w:t xml:space="preserve">in order to avoid double entry of banks </w:t>
      </w:r>
      <w:r w:rsidR="005374F0">
        <w:rPr>
          <w:rFonts w:ascii="Times New Roman" w:hAnsi="Times New Roman" w:cs="Times New Roman"/>
          <w:color w:val="222222"/>
          <w:sz w:val="24"/>
          <w:szCs w:val="24"/>
          <w:shd w:val="clear" w:color="auto" w:fill="FFFFFF"/>
        </w:rPr>
        <w:t xml:space="preserve">lacking in many </w:t>
      </w:r>
      <w:r w:rsidR="001E0211">
        <w:rPr>
          <w:rFonts w:ascii="Times New Roman" w:hAnsi="Times New Roman" w:cs="Times New Roman"/>
          <w:color w:val="222222"/>
          <w:sz w:val="24"/>
          <w:szCs w:val="24"/>
          <w:shd w:val="clear" w:color="auto" w:fill="FFFFFF"/>
        </w:rPr>
        <w:t>empirical</w:t>
      </w:r>
      <w:r w:rsidR="00165910">
        <w:rPr>
          <w:rFonts w:ascii="Times New Roman" w:hAnsi="Times New Roman" w:cs="Times New Roman"/>
          <w:color w:val="222222"/>
          <w:sz w:val="24"/>
          <w:szCs w:val="24"/>
          <w:shd w:val="clear" w:color="auto" w:fill="FFFFFF"/>
        </w:rPr>
        <w:t xml:space="preserve"> studies using Fitch-Connect, which </w:t>
      </w:r>
      <w:r w:rsidR="005374F0">
        <w:rPr>
          <w:rFonts w:ascii="Times New Roman" w:hAnsi="Times New Roman" w:cs="Times New Roman"/>
          <w:color w:val="222222"/>
          <w:sz w:val="24"/>
          <w:szCs w:val="24"/>
          <w:shd w:val="clear" w:color="auto" w:fill="FFFFFF"/>
        </w:rPr>
        <w:t>fall</w:t>
      </w:r>
      <w:r w:rsidR="00165910">
        <w:rPr>
          <w:rFonts w:ascii="Times New Roman" w:hAnsi="Times New Roman" w:cs="Times New Roman"/>
          <w:color w:val="222222"/>
          <w:sz w:val="24"/>
          <w:szCs w:val="24"/>
          <w:shd w:val="clear" w:color="auto" w:fill="FFFFFF"/>
        </w:rPr>
        <w:t>s</w:t>
      </w:r>
      <w:r w:rsidR="005374F0">
        <w:rPr>
          <w:rFonts w:ascii="Times New Roman" w:hAnsi="Times New Roman" w:cs="Times New Roman"/>
          <w:color w:val="222222"/>
          <w:sz w:val="24"/>
          <w:szCs w:val="24"/>
          <w:shd w:val="clear" w:color="auto" w:fill="FFFFFF"/>
        </w:rPr>
        <w:t xml:space="preserve"> in line with </w:t>
      </w:r>
      <w:proofErr w:type="spellStart"/>
      <w:r w:rsidR="005374F0">
        <w:rPr>
          <w:rFonts w:ascii="Times New Roman" w:hAnsi="Times New Roman" w:cs="Times New Roman"/>
          <w:color w:val="222222"/>
          <w:sz w:val="24"/>
          <w:szCs w:val="24"/>
          <w:shd w:val="clear" w:color="auto" w:fill="FFFFFF"/>
        </w:rPr>
        <w:t>Cleassens</w:t>
      </w:r>
      <w:proofErr w:type="spellEnd"/>
      <w:r w:rsidR="005374F0">
        <w:rPr>
          <w:rFonts w:ascii="Times New Roman" w:hAnsi="Times New Roman" w:cs="Times New Roman"/>
          <w:color w:val="222222"/>
          <w:sz w:val="24"/>
          <w:szCs w:val="24"/>
          <w:shd w:val="clear" w:color="auto" w:fill="FFFFFF"/>
        </w:rPr>
        <w:t xml:space="preserve"> and Van </w:t>
      </w:r>
      <w:proofErr w:type="spellStart"/>
      <w:r w:rsidR="005374F0">
        <w:rPr>
          <w:rFonts w:ascii="Times New Roman" w:hAnsi="Times New Roman" w:cs="Times New Roman"/>
          <w:color w:val="222222"/>
          <w:sz w:val="24"/>
          <w:szCs w:val="24"/>
          <w:shd w:val="clear" w:color="auto" w:fill="FFFFFF"/>
        </w:rPr>
        <w:t>Horen</w:t>
      </w:r>
      <w:proofErr w:type="spellEnd"/>
      <w:r w:rsidR="005374F0">
        <w:rPr>
          <w:rFonts w:ascii="Times New Roman" w:hAnsi="Times New Roman" w:cs="Times New Roman"/>
          <w:color w:val="222222"/>
          <w:sz w:val="24"/>
          <w:szCs w:val="24"/>
          <w:shd w:val="clear" w:color="auto" w:fill="FFFFFF"/>
        </w:rPr>
        <w:t xml:space="preserve"> (2012) sample selection method</w:t>
      </w:r>
      <w:r w:rsidR="008713C0">
        <w:rPr>
          <w:rFonts w:ascii="Times New Roman" w:hAnsi="Times New Roman" w:cs="Times New Roman"/>
          <w:color w:val="222222"/>
          <w:sz w:val="24"/>
          <w:szCs w:val="24"/>
          <w:shd w:val="clear" w:color="auto" w:fill="FFFFFF"/>
        </w:rPr>
        <w:t>.</w:t>
      </w:r>
      <w:r w:rsidR="00165910">
        <w:rPr>
          <w:rFonts w:ascii="Times New Roman" w:hAnsi="Times New Roman" w:cs="Times New Roman"/>
          <w:color w:val="222222"/>
          <w:sz w:val="24"/>
          <w:szCs w:val="24"/>
          <w:shd w:val="clear" w:color="auto" w:fill="FFFFFF"/>
        </w:rPr>
        <w:t xml:space="preserve"> Initially, bank</w:t>
      </w:r>
      <w:r>
        <w:rPr>
          <w:rFonts w:ascii="Times New Roman" w:hAnsi="Times New Roman" w:cs="Times New Roman"/>
          <w:sz w:val="24"/>
          <w:szCs w:val="24"/>
        </w:rPr>
        <w:t xml:space="preserve"> holding companies are excluded from the sample as it can lead to double counting issues, since they are organizations controlling more than one bank. Although I ensure that all subsidiaries of these organizations are included in order to evade incorrect omission of banks</w:t>
      </w:r>
      <w:r w:rsidR="008713C0" w:rsidRPr="008713C0">
        <w:rPr>
          <w:rFonts w:ascii="Times New Roman" w:hAnsi="Times New Roman" w:cs="Times New Roman"/>
          <w:color w:val="222222"/>
          <w:sz w:val="24"/>
          <w:szCs w:val="24"/>
          <w:shd w:val="clear" w:color="auto" w:fill="FFFFFF"/>
        </w:rPr>
        <w:t xml:space="preserve"> </w:t>
      </w:r>
      <w:r w:rsidR="008713C0">
        <w:rPr>
          <w:rFonts w:ascii="Times New Roman" w:hAnsi="Times New Roman" w:cs="Times New Roman"/>
          <w:color w:val="222222"/>
          <w:sz w:val="24"/>
          <w:szCs w:val="24"/>
          <w:shd w:val="clear" w:color="auto" w:fill="FFFFFF"/>
        </w:rPr>
        <w:t>(</w:t>
      </w:r>
      <w:proofErr w:type="spellStart"/>
      <w:r w:rsidR="008713C0">
        <w:rPr>
          <w:rFonts w:ascii="Times New Roman" w:hAnsi="Times New Roman" w:cs="Times New Roman"/>
          <w:color w:val="222222"/>
          <w:sz w:val="24"/>
          <w:szCs w:val="24"/>
          <w:shd w:val="clear" w:color="auto" w:fill="FFFFFF"/>
        </w:rPr>
        <w:t>Cleassens</w:t>
      </w:r>
      <w:proofErr w:type="spellEnd"/>
      <w:r w:rsidR="008713C0">
        <w:rPr>
          <w:rFonts w:ascii="Times New Roman" w:hAnsi="Times New Roman" w:cs="Times New Roman"/>
          <w:color w:val="222222"/>
          <w:sz w:val="24"/>
          <w:szCs w:val="24"/>
          <w:shd w:val="clear" w:color="auto" w:fill="FFFFFF"/>
        </w:rPr>
        <w:t xml:space="preserve"> &amp; Van </w:t>
      </w:r>
      <w:proofErr w:type="spellStart"/>
      <w:r w:rsidR="008713C0">
        <w:rPr>
          <w:rFonts w:ascii="Times New Roman" w:hAnsi="Times New Roman" w:cs="Times New Roman"/>
          <w:color w:val="222222"/>
          <w:sz w:val="24"/>
          <w:szCs w:val="24"/>
          <w:shd w:val="clear" w:color="auto" w:fill="FFFFFF"/>
        </w:rPr>
        <w:t>Horen</w:t>
      </w:r>
      <w:proofErr w:type="spellEnd"/>
      <w:r w:rsidR="008713C0">
        <w:rPr>
          <w:rFonts w:ascii="Times New Roman" w:hAnsi="Times New Roman" w:cs="Times New Roman"/>
          <w:color w:val="222222"/>
          <w:sz w:val="24"/>
          <w:szCs w:val="24"/>
          <w:shd w:val="clear" w:color="auto" w:fill="FFFFFF"/>
        </w:rPr>
        <w:t>, 2012)</w:t>
      </w:r>
      <w:r>
        <w:rPr>
          <w:rFonts w:ascii="Times New Roman" w:hAnsi="Times New Roman" w:cs="Times New Roman"/>
          <w:sz w:val="24"/>
          <w:szCs w:val="24"/>
        </w:rPr>
        <w:t xml:space="preserve">. I also </w:t>
      </w:r>
      <w:r w:rsidRPr="00611EE7">
        <w:rPr>
          <w:rFonts w:ascii="Times New Roman" w:hAnsi="Times New Roman" w:cs="Times New Roman"/>
          <w:sz w:val="24"/>
          <w:szCs w:val="24"/>
        </w:rPr>
        <w:t>exclude banks that resemble credit card banks; seen as those with consumer loans over fifty percent of gross total assets (</w:t>
      </w:r>
      <w:r w:rsidRPr="00611EE7">
        <w:rPr>
          <w:rFonts w:ascii="Times New Roman" w:hAnsi="Times New Roman" w:cs="Times New Roman"/>
          <w:color w:val="222222"/>
          <w:sz w:val="24"/>
          <w:szCs w:val="24"/>
          <w:shd w:val="clear" w:color="auto" w:fill="FFFFFF"/>
        </w:rPr>
        <w:t>Jiang et al, 2016).</w:t>
      </w:r>
      <w:r w:rsidR="001013ED">
        <w:rPr>
          <w:rFonts w:ascii="Times New Roman" w:hAnsi="Times New Roman" w:cs="Times New Roman"/>
          <w:color w:val="222222"/>
          <w:sz w:val="24"/>
          <w:szCs w:val="24"/>
          <w:shd w:val="clear" w:color="auto" w:fill="FFFFFF"/>
        </w:rPr>
        <w:t xml:space="preserve"> </w:t>
      </w:r>
      <w:r w:rsidR="008F699E">
        <w:rPr>
          <w:rFonts w:ascii="Times New Roman" w:hAnsi="Times New Roman" w:cs="Times New Roman"/>
          <w:sz w:val="24"/>
          <w:szCs w:val="24"/>
        </w:rPr>
        <w:t>Both consolidated and unconsolidated banks are used in the sample</w:t>
      </w:r>
      <w:r w:rsidR="008713C0">
        <w:rPr>
          <w:rFonts w:ascii="Times New Roman" w:hAnsi="Times New Roman" w:cs="Times New Roman"/>
          <w:sz w:val="24"/>
          <w:szCs w:val="24"/>
        </w:rPr>
        <w:t xml:space="preserve"> subject to the data available, nevertheless I exclude double entries among parent bank and subsidiaries by downloading information </w:t>
      </w:r>
      <w:r w:rsidR="009F134D">
        <w:rPr>
          <w:rFonts w:ascii="Times New Roman" w:hAnsi="Times New Roman" w:cs="Times New Roman"/>
          <w:sz w:val="24"/>
          <w:szCs w:val="24"/>
        </w:rPr>
        <w:t xml:space="preserve">from Fitch connect of each banks ultimate parent </w:t>
      </w:r>
      <w:r w:rsidR="008713C0">
        <w:rPr>
          <w:rFonts w:ascii="Times New Roman" w:hAnsi="Times New Roman" w:cs="Times New Roman"/>
          <w:sz w:val="24"/>
          <w:szCs w:val="24"/>
        </w:rPr>
        <w:t>and analysing them independently</w:t>
      </w:r>
      <w:r w:rsidR="009F134D">
        <w:rPr>
          <w:rFonts w:ascii="Times New Roman" w:hAnsi="Times New Roman" w:cs="Times New Roman"/>
          <w:sz w:val="24"/>
          <w:szCs w:val="24"/>
        </w:rPr>
        <w:t xml:space="preserve">. Moreover, </w:t>
      </w:r>
      <w:r w:rsidR="009F134D" w:rsidRPr="00000014">
        <w:rPr>
          <w:rFonts w:ascii="Times New Roman" w:hAnsi="Times New Roman" w:cs="Times New Roman"/>
          <w:color w:val="000000" w:themeColor="text1"/>
          <w:sz w:val="24"/>
          <w:szCs w:val="24"/>
        </w:rPr>
        <w:t>I clean the sample from outliers by excluding consolidated banks from countries that already have more than 5 unconsolidated banks</w:t>
      </w:r>
      <w:r w:rsidR="009F134D">
        <w:rPr>
          <w:rFonts w:ascii="Times New Roman" w:hAnsi="Times New Roman" w:cs="Times New Roman"/>
          <w:color w:val="000000" w:themeColor="text1"/>
          <w:sz w:val="24"/>
          <w:szCs w:val="24"/>
        </w:rPr>
        <w:t xml:space="preserve"> data</w:t>
      </w:r>
      <w:r w:rsidR="009F134D" w:rsidRPr="00000014">
        <w:rPr>
          <w:rFonts w:ascii="Times New Roman" w:hAnsi="Times New Roman" w:cs="Times New Roman"/>
          <w:color w:val="000000" w:themeColor="text1"/>
          <w:sz w:val="24"/>
          <w:szCs w:val="24"/>
        </w:rPr>
        <w:t xml:space="preserve"> to analyse from, or where the consolidated banks returns and assets are much larger than all the rest in the sample.</w:t>
      </w:r>
      <w:r w:rsidR="009F134D">
        <w:rPr>
          <w:rFonts w:ascii="Times New Roman" w:hAnsi="Times New Roman" w:cs="Times New Roman"/>
          <w:sz w:val="24"/>
          <w:szCs w:val="24"/>
        </w:rPr>
        <w:t xml:space="preserve"> Evidently, there banks that hold subsidiaries in foreign countries</w:t>
      </w:r>
      <w:r w:rsidR="00194D69">
        <w:rPr>
          <w:rFonts w:ascii="Times New Roman" w:hAnsi="Times New Roman" w:cs="Times New Roman"/>
          <w:sz w:val="24"/>
          <w:szCs w:val="24"/>
        </w:rPr>
        <w:t xml:space="preserve">, hence to ensure that double counting does not occur all variables are calculated at bank level and regressions are carried out per country. </w:t>
      </w:r>
    </w:p>
    <w:p w:rsidR="00103BFD" w:rsidRDefault="00165910" w:rsidP="00103BFD">
      <w:pPr>
        <w:ind w:firstLine="720"/>
        <w:rPr>
          <w:rFonts w:ascii="Times New Roman" w:hAnsi="Times New Roman" w:cs="Times New Roman"/>
          <w:sz w:val="24"/>
          <w:szCs w:val="24"/>
        </w:rPr>
      </w:pPr>
      <w:r>
        <w:rPr>
          <w:rFonts w:ascii="Times New Roman" w:hAnsi="Times New Roman" w:cs="Times New Roman"/>
          <w:sz w:val="24"/>
          <w:szCs w:val="24"/>
        </w:rPr>
        <w:t xml:space="preserve">Lastly, I determined each banks year of entry </w:t>
      </w:r>
      <w:r w:rsidR="00E425D7">
        <w:rPr>
          <w:rFonts w:ascii="Times New Roman" w:hAnsi="Times New Roman" w:cs="Times New Roman"/>
          <w:sz w:val="24"/>
          <w:szCs w:val="24"/>
        </w:rPr>
        <w:t xml:space="preserve">from </w:t>
      </w:r>
      <w:r>
        <w:rPr>
          <w:rFonts w:ascii="Times New Roman" w:hAnsi="Times New Roman" w:cs="Times New Roman"/>
          <w:sz w:val="24"/>
          <w:szCs w:val="24"/>
        </w:rPr>
        <w:t>data available on Fitch-C</w:t>
      </w:r>
      <w:r w:rsidR="00E425D7">
        <w:rPr>
          <w:rFonts w:ascii="Times New Roman" w:hAnsi="Times New Roman" w:cs="Times New Roman"/>
          <w:sz w:val="24"/>
          <w:szCs w:val="24"/>
        </w:rPr>
        <w:t>onnect, and for those that had no data available it was attained from parent company websites. Regarding, exit I took the year that the bank became inactive on Fitch-Connect. This was prepared in order to account for mergers and acquisitions (M&amp;A). Although, in order to guarantee this</w:t>
      </w:r>
      <w:r w:rsidR="001C12D0">
        <w:rPr>
          <w:rFonts w:ascii="Times New Roman" w:hAnsi="Times New Roman" w:cs="Times New Roman"/>
          <w:sz w:val="24"/>
          <w:szCs w:val="24"/>
        </w:rPr>
        <w:t>,</w:t>
      </w:r>
      <w:r w:rsidR="00E425D7">
        <w:rPr>
          <w:rFonts w:ascii="Times New Roman" w:hAnsi="Times New Roman" w:cs="Times New Roman"/>
          <w:sz w:val="24"/>
          <w:szCs w:val="24"/>
        </w:rPr>
        <w:t xml:space="preserve"> I went through all M&amp;A’s and </w:t>
      </w:r>
      <w:r w:rsidR="001C12D0">
        <w:rPr>
          <w:rFonts w:ascii="Times New Roman" w:hAnsi="Times New Roman" w:cs="Times New Roman"/>
          <w:sz w:val="24"/>
          <w:szCs w:val="24"/>
        </w:rPr>
        <w:t xml:space="preserve">only included the acquiring bank in the sample after take-over. For example if bank A was acquired by bank B in 2010, then both bank A and B were each included in the dataset. Then after the acquisition A was considered inactive and bank B sustained to be active </w:t>
      </w:r>
      <w:r w:rsidR="001C12D0">
        <w:rPr>
          <w:rFonts w:ascii="Times New Roman" w:hAnsi="Times New Roman" w:cs="Times New Roman"/>
          <w:color w:val="222222"/>
          <w:sz w:val="24"/>
          <w:szCs w:val="24"/>
          <w:shd w:val="clear" w:color="auto" w:fill="FFFFFF"/>
        </w:rPr>
        <w:t>(</w:t>
      </w:r>
      <w:proofErr w:type="spellStart"/>
      <w:r w:rsidR="001C12D0">
        <w:rPr>
          <w:rFonts w:ascii="Times New Roman" w:hAnsi="Times New Roman" w:cs="Times New Roman"/>
          <w:color w:val="222222"/>
          <w:sz w:val="24"/>
          <w:szCs w:val="24"/>
          <w:shd w:val="clear" w:color="auto" w:fill="FFFFFF"/>
        </w:rPr>
        <w:t>Cleassens</w:t>
      </w:r>
      <w:proofErr w:type="spellEnd"/>
      <w:r w:rsidR="001C12D0">
        <w:rPr>
          <w:rFonts w:ascii="Times New Roman" w:hAnsi="Times New Roman" w:cs="Times New Roman"/>
          <w:color w:val="222222"/>
          <w:sz w:val="24"/>
          <w:szCs w:val="24"/>
          <w:shd w:val="clear" w:color="auto" w:fill="FFFFFF"/>
        </w:rPr>
        <w:t xml:space="preserve"> &amp; Van </w:t>
      </w:r>
      <w:proofErr w:type="spellStart"/>
      <w:r w:rsidR="001C12D0">
        <w:rPr>
          <w:rFonts w:ascii="Times New Roman" w:hAnsi="Times New Roman" w:cs="Times New Roman"/>
          <w:color w:val="222222"/>
          <w:sz w:val="24"/>
          <w:szCs w:val="24"/>
          <w:shd w:val="clear" w:color="auto" w:fill="FFFFFF"/>
        </w:rPr>
        <w:t>Horen</w:t>
      </w:r>
      <w:proofErr w:type="spellEnd"/>
      <w:r w:rsidR="001C12D0">
        <w:rPr>
          <w:rFonts w:ascii="Times New Roman" w:hAnsi="Times New Roman" w:cs="Times New Roman"/>
          <w:color w:val="222222"/>
          <w:sz w:val="24"/>
          <w:szCs w:val="24"/>
          <w:shd w:val="clear" w:color="auto" w:fill="FFFFFF"/>
        </w:rPr>
        <w:t>, 2012)</w:t>
      </w:r>
      <w:r w:rsidR="00103BFD">
        <w:rPr>
          <w:rFonts w:ascii="Times New Roman" w:hAnsi="Times New Roman" w:cs="Times New Roman"/>
          <w:color w:val="222222"/>
          <w:sz w:val="24"/>
          <w:szCs w:val="24"/>
          <w:shd w:val="clear" w:color="auto" w:fill="FFFFFF"/>
        </w:rPr>
        <w:t xml:space="preserve">. After, all selection rules </w:t>
      </w:r>
      <w:r w:rsidR="00103BFD">
        <w:rPr>
          <w:rFonts w:ascii="Times New Roman" w:hAnsi="Times New Roman" w:cs="Times New Roman"/>
          <w:color w:val="222222"/>
          <w:sz w:val="24"/>
          <w:szCs w:val="24"/>
          <w:shd w:val="clear" w:color="auto" w:fill="FFFFFF"/>
        </w:rPr>
        <w:lastRenderedPageBreak/>
        <w:t xml:space="preserve">where implemented I </w:t>
      </w:r>
      <w:r w:rsidR="00721CFF">
        <w:rPr>
          <w:rFonts w:ascii="Times New Roman" w:hAnsi="Times New Roman" w:cs="Times New Roman"/>
          <w:color w:val="222222"/>
          <w:sz w:val="24"/>
          <w:szCs w:val="24"/>
          <w:shd w:val="clear" w:color="auto" w:fill="FFFFFF"/>
        </w:rPr>
        <w:t>was left with 1,</w:t>
      </w:r>
      <w:r w:rsidR="00FB50B2">
        <w:rPr>
          <w:rFonts w:ascii="Times New Roman" w:hAnsi="Times New Roman" w:cs="Times New Roman"/>
          <w:color w:val="222222"/>
          <w:sz w:val="24"/>
          <w:szCs w:val="24"/>
          <w:shd w:val="clear" w:color="auto" w:fill="FFFFFF"/>
        </w:rPr>
        <w:t>640</w:t>
      </w:r>
      <w:r w:rsidR="00103BFD">
        <w:rPr>
          <w:rFonts w:ascii="Times New Roman" w:hAnsi="Times New Roman" w:cs="Times New Roman"/>
          <w:color w:val="222222"/>
          <w:sz w:val="24"/>
          <w:szCs w:val="24"/>
          <w:shd w:val="clear" w:color="auto" w:fill="FFFFFF"/>
        </w:rPr>
        <w:t xml:space="preserve"> observa</w:t>
      </w:r>
      <w:r w:rsidR="00FB50B2">
        <w:rPr>
          <w:rFonts w:ascii="Times New Roman" w:hAnsi="Times New Roman" w:cs="Times New Roman"/>
          <w:color w:val="222222"/>
          <w:sz w:val="24"/>
          <w:szCs w:val="24"/>
          <w:shd w:val="clear" w:color="auto" w:fill="FFFFFF"/>
        </w:rPr>
        <w:t>tions in 20</w:t>
      </w:r>
      <w:r w:rsidR="00721CFF">
        <w:rPr>
          <w:rFonts w:ascii="Times New Roman" w:hAnsi="Times New Roman" w:cs="Times New Roman"/>
          <w:color w:val="222222"/>
          <w:sz w:val="24"/>
          <w:szCs w:val="24"/>
          <w:shd w:val="clear" w:color="auto" w:fill="FFFFFF"/>
        </w:rPr>
        <w:t xml:space="preserve"> European countries in which most of the observations excluded are due to lack of data in for banks in key </w:t>
      </w:r>
      <w:r w:rsidR="00721CFF" w:rsidRPr="00721CFF">
        <w:rPr>
          <w:rFonts w:ascii="Times New Roman" w:hAnsi="Times New Roman" w:cs="Times New Roman"/>
          <w:color w:val="FF0000"/>
          <w:sz w:val="24"/>
          <w:szCs w:val="24"/>
          <w:shd w:val="clear" w:color="auto" w:fill="FFFFFF"/>
        </w:rPr>
        <w:t>variables</w:t>
      </w:r>
      <w:r w:rsidR="00721CFF">
        <w:rPr>
          <w:rFonts w:ascii="Times New Roman" w:hAnsi="Times New Roman" w:cs="Times New Roman"/>
          <w:color w:val="FF0000"/>
          <w:sz w:val="24"/>
          <w:szCs w:val="24"/>
          <w:shd w:val="clear" w:color="auto" w:fill="FFFFFF"/>
        </w:rPr>
        <w:t>.</w:t>
      </w:r>
    </w:p>
    <w:p w:rsidR="00714BBA" w:rsidRPr="00103BFD" w:rsidRDefault="00103BFD" w:rsidP="00103BFD">
      <w:pPr>
        <w:ind w:firstLine="720"/>
        <w:rPr>
          <w:rFonts w:ascii="Times New Roman" w:hAnsi="Times New Roman" w:cs="Times New Roman"/>
          <w:sz w:val="24"/>
          <w:szCs w:val="24"/>
        </w:rPr>
      </w:pPr>
      <w:r>
        <w:rPr>
          <w:rFonts w:ascii="Times New Roman" w:hAnsi="Times New Roman" w:cs="Times New Roman"/>
          <w:color w:val="222222"/>
          <w:sz w:val="24"/>
          <w:szCs w:val="24"/>
        </w:rPr>
        <w:t>To figure the competition indices I</w:t>
      </w:r>
      <w:r w:rsidR="00416497">
        <w:rPr>
          <w:rFonts w:ascii="Times New Roman" w:hAnsi="Times New Roman" w:cs="Times New Roman"/>
          <w:color w:val="222222"/>
          <w:sz w:val="24"/>
          <w:szCs w:val="24"/>
        </w:rPr>
        <w:t xml:space="preserve"> measure bank total cost </w:t>
      </w:r>
      <m:oMath>
        <m:sSub>
          <m:sSubPr>
            <m:ctrlPr>
              <w:rPr>
                <w:rFonts w:ascii="Cambria Math" w:hAnsi="Cambria Math" w:cs="Times New Roman"/>
                <w:i/>
                <w:sz w:val="24"/>
                <w:szCs w:val="24"/>
              </w:rPr>
            </m:ctrlPr>
          </m:sSubPr>
          <m:e>
            <m:r>
              <w:rPr>
                <w:rFonts w:ascii="Cambria Math" w:hAnsi="Cambria Math" w:cs="Times New Roman"/>
                <w:sz w:val="24"/>
                <w:szCs w:val="24"/>
              </w:rPr>
              <m:t>LnCost</m:t>
            </m:r>
          </m:e>
          <m:sub>
            <m:r>
              <w:rPr>
                <w:rFonts w:ascii="Cambria Math" w:hAnsi="Cambria Math" w:cs="Times New Roman"/>
                <w:sz w:val="24"/>
                <w:szCs w:val="24"/>
              </w:rPr>
              <m:t>it</m:t>
            </m:r>
          </m:sub>
        </m:sSub>
      </m:oMath>
      <w:r w:rsidR="00D671FF" w:rsidRPr="00000014">
        <w:rPr>
          <w:rFonts w:ascii="Times New Roman" w:hAnsi="Times New Roman" w:cs="Times New Roman"/>
          <w:color w:val="222222"/>
          <w:sz w:val="24"/>
          <w:szCs w:val="24"/>
        </w:rPr>
        <w:t xml:space="preserve"> </w:t>
      </w:r>
      <w:r w:rsidR="0018753B" w:rsidRPr="00000014">
        <w:rPr>
          <w:rFonts w:ascii="Times New Roman" w:hAnsi="Times New Roman" w:cs="Times New Roman"/>
          <w:color w:val="222222"/>
          <w:sz w:val="24"/>
          <w:szCs w:val="24"/>
        </w:rPr>
        <w:t xml:space="preserve">in equation </w:t>
      </w:r>
      <w:r w:rsidR="003178C5" w:rsidRPr="00000014">
        <w:rPr>
          <w:rFonts w:ascii="Times New Roman" w:hAnsi="Times New Roman" w:cs="Times New Roman"/>
          <w:color w:val="222222"/>
          <w:sz w:val="24"/>
          <w:szCs w:val="24"/>
        </w:rPr>
        <w:t xml:space="preserve">(2) </w:t>
      </w:r>
      <w:r w:rsidR="00D671FF" w:rsidRPr="00000014">
        <w:rPr>
          <w:rFonts w:ascii="Times New Roman" w:hAnsi="Times New Roman" w:cs="Times New Roman"/>
          <w:color w:val="222222"/>
          <w:sz w:val="24"/>
          <w:szCs w:val="24"/>
        </w:rPr>
        <w:t xml:space="preserve">by the ration of total expenses to total assets for </w:t>
      </w:r>
      <w:proofErr w:type="gramStart"/>
      <w:r w:rsidR="00D671FF" w:rsidRPr="00000014">
        <w:rPr>
          <w:rFonts w:ascii="Times New Roman" w:hAnsi="Times New Roman" w:cs="Times New Roman"/>
          <w:color w:val="222222"/>
          <w:sz w:val="24"/>
          <w:szCs w:val="24"/>
        </w:rPr>
        <w:t xml:space="preserve">bank </w:t>
      </w:r>
      <w:proofErr w:type="gramEnd"/>
      <m:oMath>
        <m:r>
          <w:rPr>
            <w:rFonts w:ascii="Cambria Math" w:hAnsi="Cambria Math" w:cs="Times New Roman"/>
            <w:color w:val="222222"/>
            <w:sz w:val="24"/>
            <w:szCs w:val="24"/>
          </w:rPr>
          <m:t>i</m:t>
        </m:r>
      </m:oMath>
      <w:r w:rsidR="008E59AB" w:rsidRPr="00000014">
        <w:rPr>
          <w:rFonts w:ascii="Times New Roman" w:hAnsi="Times New Roman" w:cs="Times New Roman"/>
          <w:color w:val="222222"/>
          <w:sz w:val="24"/>
          <w:szCs w:val="24"/>
        </w:rPr>
        <w:t xml:space="preserve">, and bank </w:t>
      </w:r>
      <w:r w:rsidR="008E59AB" w:rsidRPr="00000014">
        <w:rPr>
          <w:rFonts w:ascii="Times New Roman" w:hAnsi="Times New Roman" w:cs="Times New Roman"/>
          <w:color w:val="000000" w:themeColor="text1"/>
          <w:sz w:val="24"/>
          <w:szCs w:val="24"/>
        </w:rPr>
        <w:t xml:space="preserve">output Q </w:t>
      </w:r>
      <w:r w:rsidR="003178C5" w:rsidRPr="00000014">
        <w:rPr>
          <w:rFonts w:ascii="Times New Roman" w:hAnsi="Times New Roman" w:cs="Times New Roman"/>
          <w:color w:val="000000" w:themeColor="text1"/>
          <w:sz w:val="24"/>
          <w:szCs w:val="24"/>
        </w:rPr>
        <w:t xml:space="preserve"> </w:t>
      </w:r>
      <w:r w:rsidR="00D616A9" w:rsidRPr="00000014">
        <w:rPr>
          <w:rFonts w:ascii="Times New Roman" w:hAnsi="Times New Roman" w:cs="Times New Roman"/>
          <w:color w:val="000000" w:themeColor="text1"/>
          <w:sz w:val="24"/>
          <w:szCs w:val="24"/>
        </w:rPr>
        <w:t>by real total earning assets</w:t>
      </w:r>
      <w:r w:rsidR="00F277FC" w:rsidRPr="00000014">
        <w:rPr>
          <w:rFonts w:ascii="Times New Roman" w:hAnsi="Times New Roman" w:cs="Times New Roman"/>
          <w:color w:val="000000" w:themeColor="text1"/>
          <w:sz w:val="24"/>
          <w:szCs w:val="24"/>
        </w:rPr>
        <w:t xml:space="preserve">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q</m:t>
            </m:r>
          </m:e>
          <m:sub>
            <m:r>
              <w:rPr>
                <w:rFonts w:ascii="Cambria Math" w:hAnsi="Cambria Math" w:cs="Times New Roman"/>
                <w:color w:val="000000" w:themeColor="text1"/>
                <w:sz w:val="24"/>
                <w:szCs w:val="24"/>
              </w:rPr>
              <m:t>1</m:t>
            </m:r>
          </m:sub>
        </m:sSub>
      </m:oMath>
      <w:r w:rsidR="00D616A9" w:rsidRPr="00000014">
        <w:rPr>
          <w:rFonts w:ascii="Times New Roman" w:hAnsi="Times New Roman" w:cs="Times New Roman"/>
          <w:color w:val="000000" w:themeColor="text1"/>
          <w:sz w:val="24"/>
          <w:szCs w:val="24"/>
        </w:rPr>
        <w:t xml:space="preserve"> and of</w:t>
      </w:r>
      <w:r w:rsidR="00E8484D" w:rsidRPr="00000014">
        <w:rPr>
          <w:rFonts w:ascii="Times New Roman" w:hAnsi="Times New Roman" w:cs="Times New Roman"/>
          <w:color w:val="000000" w:themeColor="text1"/>
          <w:sz w:val="24"/>
          <w:szCs w:val="24"/>
        </w:rPr>
        <w:t>f-</w:t>
      </w:r>
      <w:r w:rsidR="00D616A9" w:rsidRPr="00000014">
        <w:rPr>
          <w:rFonts w:ascii="Times New Roman" w:hAnsi="Times New Roman" w:cs="Times New Roman"/>
          <w:color w:val="000000" w:themeColor="text1"/>
          <w:sz w:val="24"/>
          <w:szCs w:val="24"/>
        </w:rPr>
        <w:t>balance sheet items</w:t>
      </w:r>
      <w:r w:rsidR="00F277FC" w:rsidRPr="00000014">
        <w:rPr>
          <w:rFonts w:ascii="Times New Roman" w:hAnsi="Times New Roman" w:cs="Times New Roman"/>
          <w:color w:val="000000" w:themeColor="text1"/>
          <w:sz w:val="24"/>
          <w:szCs w:val="24"/>
        </w:rPr>
        <w:t xml:space="preserve">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q</m:t>
            </m:r>
          </m:e>
          <m:sub>
            <m:r>
              <w:rPr>
                <w:rFonts w:ascii="Cambria Math" w:hAnsi="Cambria Math" w:cs="Times New Roman"/>
                <w:color w:val="000000" w:themeColor="text1"/>
                <w:sz w:val="24"/>
                <w:szCs w:val="24"/>
              </w:rPr>
              <m:t>2</m:t>
            </m:r>
          </m:sub>
        </m:sSub>
      </m:oMath>
      <w:r w:rsidR="00D616A9" w:rsidRPr="00000014">
        <w:rPr>
          <w:rFonts w:ascii="Times New Roman" w:hAnsi="Times New Roman" w:cs="Times New Roman"/>
          <w:color w:val="000000" w:themeColor="text1"/>
          <w:sz w:val="24"/>
          <w:szCs w:val="24"/>
        </w:rPr>
        <w:t xml:space="preserve">. </w:t>
      </w:r>
      <w:r w:rsidR="008E59AB" w:rsidRPr="00000014">
        <w:rPr>
          <w:rFonts w:ascii="Times New Roman" w:hAnsi="Times New Roman" w:cs="Times New Roman"/>
          <w:color w:val="000000" w:themeColor="text1"/>
          <w:sz w:val="24"/>
          <w:szCs w:val="24"/>
        </w:rPr>
        <w:t xml:space="preserve">This measure of bank output is used as it is linked to traditional banking activities, </w:t>
      </w:r>
      <w:r w:rsidR="00D616A9" w:rsidRPr="00000014">
        <w:rPr>
          <w:rFonts w:ascii="Times New Roman" w:hAnsi="Times New Roman" w:cs="Times New Roman"/>
          <w:color w:val="000000" w:themeColor="text1"/>
          <w:sz w:val="24"/>
          <w:szCs w:val="24"/>
        </w:rPr>
        <w:t xml:space="preserve">since </w:t>
      </w:r>
      <w:r w:rsidR="009319C0" w:rsidRPr="00000014">
        <w:rPr>
          <w:rFonts w:ascii="Times New Roman" w:hAnsi="Times New Roman" w:cs="Times New Roman"/>
          <w:color w:val="000000" w:themeColor="text1"/>
          <w:sz w:val="24"/>
          <w:szCs w:val="24"/>
        </w:rPr>
        <w:t xml:space="preserve">banks have a pronounced </w:t>
      </w:r>
      <w:r w:rsidR="00CC201C" w:rsidRPr="00000014">
        <w:rPr>
          <w:rFonts w:ascii="Times New Roman" w:hAnsi="Times New Roman" w:cs="Times New Roman"/>
          <w:color w:val="000000" w:themeColor="text1"/>
          <w:sz w:val="24"/>
          <w:szCs w:val="24"/>
        </w:rPr>
        <w:t>size</w:t>
      </w:r>
      <w:r w:rsidR="009319C0" w:rsidRPr="00000014">
        <w:rPr>
          <w:rFonts w:ascii="Times New Roman" w:hAnsi="Times New Roman" w:cs="Times New Roman"/>
          <w:color w:val="000000" w:themeColor="text1"/>
          <w:sz w:val="24"/>
          <w:szCs w:val="24"/>
        </w:rPr>
        <w:t xml:space="preserve"> </w:t>
      </w:r>
      <w:r w:rsidR="00E70B53" w:rsidRPr="00000014">
        <w:rPr>
          <w:rFonts w:ascii="Times New Roman" w:hAnsi="Times New Roman" w:cs="Times New Roman"/>
          <w:color w:val="000000" w:themeColor="text1"/>
          <w:sz w:val="24"/>
          <w:szCs w:val="24"/>
        </w:rPr>
        <w:t xml:space="preserve">of off-balance sheet items that are produced </w:t>
      </w:r>
      <w:r w:rsidR="003B10BF" w:rsidRPr="00000014">
        <w:rPr>
          <w:rFonts w:ascii="Times New Roman" w:hAnsi="Times New Roman" w:cs="Times New Roman"/>
          <w:color w:val="000000" w:themeColor="text1"/>
          <w:sz w:val="24"/>
          <w:szCs w:val="24"/>
        </w:rPr>
        <w:t>as you would expect</w:t>
      </w:r>
      <w:r w:rsidR="00E70B53" w:rsidRPr="00000014">
        <w:rPr>
          <w:rFonts w:ascii="Times New Roman" w:hAnsi="Times New Roman" w:cs="Times New Roman"/>
          <w:color w:val="000000" w:themeColor="text1"/>
          <w:sz w:val="24"/>
          <w:szCs w:val="24"/>
        </w:rPr>
        <w:t xml:space="preserve"> </w:t>
      </w:r>
      <w:r w:rsidR="003557BF" w:rsidRPr="00000014">
        <w:rPr>
          <w:rFonts w:ascii="Times New Roman" w:hAnsi="Times New Roman" w:cs="Times New Roman"/>
          <w:color w:val="000000" w:themeColor="text1"/>
          <w:sz w:val="24"/>
          <w:szCs w:val="24"/>
        </w:rPr>
        <w:t>from inputs. Hence,</w:t>
      </w:r>
      <w:r w:rsidR="008E59AB" w:rsidRPr="00000014">
        <w:rPr>
          <w:rFonts w:ascii="Times New Roman" w:hAnsi="Times New Roman" w:cs="Times New Roman"/>
          <w:color w:val="000000" w:themeColor="text1"/>
          <w:sz w:val="24"/>
          <w:szCs w:val="24"/>
        </w:rPr>
        <w:t xml:space="preserve"> my key indicators mirror competition in t</w:t>
      </w:r>
      <w:r w:rsidR="000A1026" w:rsidRPr="00000014">
        <w:rPr>
          <w:rFonts w:ascii="Times New Roman" w:hAnsi="Times New Roman" w:cs="Times New Roman"/>
          <w:color w:val="000000" w:themeColor="text1"/>
          <w:sz w:val="24"/>
          <w:szCs w:val="24"/>
        </w:rPr>
        <w:t>raditional banking</w:t>
      </w:r>
      <w:r w:rsidR="008E59AB" w:rsidRPr="00000014">
        <w:rPr>
          <w:rFonts w:ascii="Times New Roman" w:hAnsi="Times New Roman" w:cs="Times New Roman"/>
          <w:color w:val="000000" w:themeColor="text1"/>
          <w:sz w:val="24"/>
          <w:szCs w:val="24"/>
        </w:rPr>
        <w:t xml:space="preserve"> activities </w:t>
      </w:r>
      <w:r w:rsidR="00001AB2" w:rsidRPr="00000014">
        <w:rPr>
          <w:rFonts w:ascii="Times New Roman" w:hAnsi="Times New Roman" w:cs="Times New Roman"/>
          <w:color w:val="000000" w:themeColor="text1"/>
          <w:sz w:val="24"/>
          <w:szCs w:val="24"/>
        </w:rPr>
        <w:t>(</w:t>
      </w:r>
      <w:proofErr w:type="spellStart"/>
      <w:r w:rsidR="004E4DEE" w:rsidRPr="00000014">
        <w:rPr>
          <w:rFonts w:ascii="Times New Roman" w:hAnsi="Times New Roman" w:cs="Times New Roman"/>
          <w:color w:val="000000" w:themeColor="text1"/>
          <w:sz w:val="24"/>
          <w:szCs w:val="24"/>
        </w:rPr>
        <w:t>Clerides</w:t>
      </w:r>
      <w:proofErr w:type="spellEnd"/>
      <w:r w:rsidR="008E59AB" w:rsidRPr="00000014">
        <w:rPr>
          <w:rFonts w:ascii="Times New Roman" w:hAnsi="Times New Roman" w:cs="Times New Roman"/>
          <w:color w:val="000000" w:themeColor="text1"/>
          <w:sz w:val="24"/>
          <w:szCs w:val="24"/>
        </w:rPr>
        <w:t xml:space="preserve"> et al</w:t>
      </w:r>
      <w:r w:rsidR="00001AB2" w:rsidRPr="00000014">
        <w:rPr>
          <w:rFonts w:ascii="Times New Roman" w:hAnsi="Times New Roman" w:cs="Times New Roman"/>
          <w:color w:val="000000" w:themeColor="text1"/>
          <w:sz w:val="24"/>
          <w:szCs w:val="24"/>
        </w:rPr>
        <w:t xml:space="preserve">, </w:t>
      </w:r>
      <w:r w:rsidR="008E59AB" w:rsidRPr="00000014">
        <w:rPr>
          <w:rFonts w:ascii="Times New Roman" w:hAnsi="Times New Roman" w:cs="Times New Roman"/>
          <w:color w:val="000000" w:themeColor="text1"/>
          <w:sz w:val="24"/>
          <w:szCs w:val="24"/>
        </w:rPr>
        <w:t xml:space="preserve">2013). </w:t>
      </w:r>
      <w:r w:rsidR="00466F98" w:rsidRPr="00000014">
        <w:rPr>
          <w:rFonts w:ascii="Times New Roman" w:hAnsi="Times New Roman" w:cs="Times New Roman"/>
          <w:color w:val="000000" w:themeColor="text1"/>
          <w:sz w:val="24"/>
          <w:szCs w:val="24"/>
        </w:rPr>
        <w:t xml:space="preserve">Additionally, the Lerner Index total output price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p</m:t>
            </m:r>
          </m:e>
          <m:sub>
            <m:r>
              <w:rPr>
                <w:rFonts w:ascii="Cambria Math" w:hAnsi="Cambria Math" w:cs="Times New Roman"/>
                <w:color w:val="000000" w:themeColor="text1"/>
                <w:sz w:val="24"/>
                <w:szCs w:val="24"/>
              </w:rPr>
              <m:t>it</m:t>
            </m:r>
          </m:sub>
        </m:sSub>
      </m:oMath>
      <w:r w:rsidR="00466F98" w:rsidRPr="00000014">
        <w:rPr>
          <w:rFonts w:ascii="Times New Roman" w:hAnsi="Times New Roman" w:cs="Times New Roman"/>
          <w:color w:val="000000" w:themeColor="text1"/>
          <w:sz w:val="24"/>
          <w:szCs w:val="24"/>
        </w:rPr>
        <w:t xml:space="preserve"> </w:t>
      </w:r>
      <w:r w:rsidR="00D14917" w:rsidRPr="00000014">
        <w:rPr>
          <w:rFonts w:ascii="Times New Roman" w:hAnsi="Times New Roman" w:cs="Times New Roman"/>
          <w:color w:val="000000" w:themeColor="text1"/>
          <w:sz w:val="24"/>
          <w:szCs w:val="24"/>
        </w:rPr>
        <w:t xml:space="preserve"> </w:t>
      </w:r>
      <w:r w:rsidR="0018753B" w:rsidRPr="00000014">
        <w:rPr>
          <w:rFonts w:ascii="Times New Roman" w:hAnsi="Times New Roman" w:cs="Times New Roman"/>
          <w:color w:val="000000" w:themeColor="text1"/>
          <w:sz w:val="24"/>
          <w:szCs w:val="24"/>
        </w:rPr>
        <w:t>in equation</w:t>
      </w:r>
      <w:r w:rsidR="003178C5" w:rsidRPr="00000014">
        <w:rPr>
          <w:rFonts w:ascii="Times New Roman" w:hAnsi="Times New Roman" w:cs="Times New Roman"/>
          <w:color w:val="000000" w:themeColor="text1"/>
          <w:sz w:val="24"/>
          <w:szCs w:val="24"/>
        </w:rPr>
        <w:t xml:space="preserve"> (1) </w:t>
      </w:r>
      <w:r w:rsidR="00466F98" w:rsidRPr="00000014">
        <w:rPr>
          <w:rFonts w:ascii="Times New Roman" w:hAnsi="Times New Roman" w:cs="Times New Roman"/>
          <w:color w:val="000000" w:themeColor="text1"/>
          <w:sz w:val="24"/>
          <w:szCs w:val="24"/>
        </w:rPr>
        <w:t>is measured as the ratio of total operating income (consists of interest income as well as non-interest income) to total assets</w:t>
      </w:r>
      <w:r w:rsidR="00463465">
        <w:rPr>
          <w:rFonts w:ascii="Times New Roman" w:hAnsi="Times New Roman" w:cs="Times New Roman"/>
          <w:color w:val="000000" w:themeColor="text1"/>
          <w:sz w:val="24"/>
          <w:szCs w:val="24"/>
        </w:rPr>
        <w:t xml:space="preserve"> (following, e.g.,</w:t>
      </w:r>
      <w:r w:rsidR="00463465" w:rsidRPr="00463465">
        <w:rPr>
          <w:rFonts w:ascii="Times New Roman" w:hAnsi="Times New Roman" w:cs="Times New Roman"/>
          <w:color w:val="000000" w:themeColor="text1"/>
          <w:sz w:val="24"/>
          <w:szCs w:val="24"/>
        </w:rPr>
        <w:t xml:space="preserve"> </w:t>
      </w:r>
      <w:r w:rsidR="00463465" w:rsidRPr="00000014">
        <w:rPr>
          <w:rFonts w:ascii="Times New Roman" w:hAnsi="Times New Roman" w:cs="Times New Roman"/>
          <w:color w:val="000000" w:themeColor="text1"/>
          <w:sz w:val="24"/>
          <w:szCs w:val="24"/>
        </w:rPr>
        <w:t>Beck et al, 2012</w:t>
      </w:r>
      <w:r w:rsidR="00463465">
        <w:rPr>
          <w:rFonts w:ascii="Times New Roman" w:hAnsi="Times New Roman" w:cs="Times New Roman"/>
          <w:color w:val="000000" w:themeColor="text1"/>
          <w:sz w:val="24"/>
          <w:szCs w:val="24"/>
        </w:rPr>
        <w:t xml:space="preserve">; Carbo et </w:t>
      </w:r>
      <w:r w:rsidR="00EC1CFD">
        <w:rPr>
          <w:rFonts w:ascii="Times New Roman" w:hAnsi="Times New Roman" w:cs="Times New Roman"/>
          <w:color w:val="000000" w:themeColor="text1"/>
          <w:sz w:val="24"/>
          <w:szCs w:val="24"/>
        </w:rPr>
        <w:t>al, 2009</w:t>
      </w:r>
      <w:r w:rsidR="00AA5371" w:rsidRPr="00000014">
        <w:rPr>
          <w:rFonts w:ascii="Times New Roman" w:hAnsi="Times New Roman" w:cs="Times New Roman"/>
          <w:color w:val="000000" w:themeColor="text1"/>
          <w:sz w:val="24"/>
          <w:szCs w:val="24"/>
        </w:rPr>
        <w:t xml:space="preserve">). </w:t>
      </w:r>
    </w:p>
    <w:p w:rsidR="00AA5371" w:rsidRPr="00A76B57" w:rsidRDefault="00721CFF" w:rsidP="00701BD5">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The input prices</w:t>
      </w:r>
      <w:r w:rsidRPr="00A6160A">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k, it</m:t>
            </m:r>
          </m:sub>
        </m:sSub>
      </m:oMath>
      <w:r>
        <w:rPr>
          <w:rFonts w:ascii="Times New Roman" w:hAnsi="Times New Roman" w:cs="Times New Roman"/>
          <w:sz w:val="24"/>
          <w:szCs w:val="24"/>
        </w:rPr>
        <w:t xml:space="preserve"> are; </w:t>
      </w:r>
      <w:r w:rsidR="00116C91" w:rsidRPr="00A6160A">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1</m:t>
            </m:r>
          </m:sub>
        </m:sSub>
      </m:oMath>
      <w:r>
        <w:rPr>
          <w:rFonts w:ascii="Times New Roman" w:hAnsi="Times New Roman" w:cs="Times New Roman"/>
          <w:sz w:val="24"/>
          <w:szCs w:val="24"/>
        </w:rPr>
        <w:t xml:space="preserve">  the price of labour, which is </w:t>
      </w:r>
      <w:r w:rsidR="00116C91" w:rsidRPr="00A6160A">
        <w:rPr>
          <w:rFonts w:ascii="Times New Roman" w:hAnsi="Times New Roman" w:cs="Times New Roman"/>
          <w:sz w:val="24"/>
          <w:szCs w:val="24"/>
        </w:rPr>
        <w:t>the ratio of per</w:t>
      </w:r>
      <w:r>
        <w:rPr>
          <w:rFonts w:ascii="Times New Roman" w:hAnsi="Times New Roman" w:cs="Times New Roman"/>
          <w:sz w:val="24"/>
          <w:szCs w:val="24"/>
        </w:rPr>
        <w:t>sonnel expenses to total asset; and</w:t>
      </w:r>
      <w:r w:rsidR="00116C91" w:rsidRPr="00A6160A">
        <w:rPr>
          <w:rFonts w:ascii="Times New Roman" w:hAnsi="Times New Roman" w:cs="Times New Roman"/>
          <w:sz w:val="24"/>
          <w:szCs w:val="24"/>
        </w:rPr>
        <w:t xml:space="preserve"> total assets are used due to their being lack of available data on number of employees as other literature follow a parallel approach (e.g., </w:t>
      </w:r>
      <w:proofErr w:type="spellStart"/>
      <w:r w:rsidR="00116C91" w:rsidRPr="00A6160A">
        <w:rPr>
          <w:rFonts w:ascii="Times New Roman" w:hAnsi="Times New Roman" w:cs="Times New Roman"/>
          <w:sz w:val="24"/>
          <w:szCs w:val="24"/>
        </w:rPr>
        <w:t>Claessens</w:t>
      </w:r>
      <w:proofErr w:type="spellEnd"/>
      <w:r w:rsidR="00116C91" w:rsidRPr="00A6160A">
        <w:rPr>
          <w:rFonts w:ascii="Times New Roman" w:hAnsi="Times New Roman" w:cs="Times New Roman"/>
          <w:sz w:val="24"/>
          <w:szCs w:val="24"/>
        </w:rPr>
        <w:t xml:space="preserve"> and </w:t>
      </w:r>
      <w:proofErr w:type="spellStart"/>
      <w:r w:rsidR="00116C91" w:rsidRPr="00A6160A">
        <w:rPr>
          <w:rFonts w:ascii="Times New Roman" w:hAnsi="Times New Roman" w:cs="Times New Roman"/>
          <w:sz w:val="24"/>
          <w:szCs w:val="24"/>
        </w:rPr>
        <w:t>Laeven</w:t>
      </w:r>
      <w:proofErr w:type="spellEnd"/>
      <w:r w:rsidR="00116C91" w:rsidRPr="00A6160A">
        <w:rPr>
          <w:rFonts w:ascii="Times New Roman" w:hAnsi="Times New Roman" w:cs="Times New Roman"/>
          <w:sz w:val="24"/>
          <w:szCs w:val="24"/>
        </w:rPr>
        <w:t xml:space="preserve">, 2004). </w:t>
      </w:r>
      <m:oMath>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2</m:t>
            </m:r>
          </m:sub>
        </m:sSub>
      </m:oMath>
      <w:r w:rsidR="00116C91" w:rsidRPr="00A6160A">
        <w:rPr>
          <w:rFonts w:ascii="Times New Roman" w:hAnsi="Times New Roman" w:cs="Times New Roman"/>
          <w:sz w:val="24"/>
          <w:szCs w:val="24"/>
        </w:rPr>
        <w:t xml:space="preserve"> </w:t>
      </w:r>
      <w:r>
        <w:rPr>
          <w:rFonts w:ascii="Times New Roman" w:hAnsi="Times New Roman" w:cs="Times New Roman"/>
          <w:sz w:val="24"/>
          <w:szCs w:val="24"/>
        </w:rPr>
        <w:t>in place of</w:t>
      </w:r>
      <w:r w:rsidR="00116C91" w:rsidRPr="00A6160A">
        <w:rPr>
          <w:rFonts w:ascii="Times New Roman" w:hAnsi="Times New Roman" w:cs="Times New Roman"/>
          <w:sz w:val="24"/>
          <w:szCs w:val="24"/>
        </w:rPr>
        <w:t xml:space="preserve"> th</w:t>
      </w:r>
      <w:r>
        <w:rPr>
          <w:rFonts w:ascii="Times New Roman" w:hAnsi="Times New Roman" w:cs="Times New Roman"/>
          <w:sz w:val="24"/>
          <w:szCs w:val="24"/>
        </w:rPr>
        <w:t xml:space="preserve">e price of physical capital, which is specified by </w:t>
      </w:r>
      <w:r w:rsidR="00116C91" w:rsidRPr="00A6160A">
        <w:rPr>
          <w:rFonts w:ascii="Times New Roman" w:hAnsi="Times New Roman" w:cs="Times New Roman"/>
          <w:sz w:val="24"/>
          <w:szCs w:val="24"/>
        </w:rPr>
        <w:t xml:space="preserve">the ratio of other operating expenses to total </w:t>
      </w:r>
      <w:r>
        <w:rPr>
          <w:rFonts w:ascii="Times New Roman" w:hAnsi="Times New Roman" w:cs="Times New Roman"/>
          <w:sz w:val="24"/>
          <w:szCs w:val="24"/>
        </w:rPr>
        <w:t>fixed assets;</w:t>
      </w:r>
      <w:r w:rsidR="00116C91" w:rsidRPr="00A6160A">
        <w:rPr>
          <w:rFonts w:ascii="Times New Roman" w:hAnsi="Times New Roman" w:cs="Times New Roman"/>
          <w:sz w:val="24"/>
          <w:szCs w:val="24"/>
        </w:rPr>
        <w:t xml:space="preserve"> and </w:t>
      </w:r>
      <m:oMath>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3</m:t>
            </m:r>
          </m:sub>
        </m:sSub>
      </m:oMath>
      <w:r>
        <w:rPr>
          <w:rFonts w:ascii="Times New Roman" w:hAnsi="Times New Roman" w:cs="Times New Roman"/>
          <w:sz w:val="24"/>
          <w:szCs w:val="24"/>
        </w:rPr>
        <w:t xml:space="preserve"> it the price of deposits, which is measured by  </w:t>
      </w:r>
      <w:r w:rsidR="00116C91" w:rsidRPr="00A6160A">
        <w:rPr>
          <w:rFonts w:ascii="Times New Roman" w:hAnsi="Times New Roman" w:cs="Times New Roman"/>
          <w:sz w:val="24"/>
          <w:szCs w:val="24"/>
        </w:rPr>
        <w:t>the ratio of total interest expens</w:t>
      </w:r>
      <w:r>
        <w:rPr>
          <w:rFonts w:ascii="Times New Roman" w:hAnsi="Times New Roman" w:cs="Times New Roman"/>
          <w:sz w:val="24"/>
          <w:szCs w:val="24"/>
        </w:rPr>
        <w:t>es over total customer deposits</w:t>
      </w:r>
      <w:r w:rsidR="00116C91" w:rsidRPr="00A6160A">
        <w:rPr>
          <w:rFonts w:ascii="Times New Roman" w:hAnsi="Times New Roman" w:cs="Times New Roman"/>
          <w:sz w:val="24"/>
          <w:szCs w:val="24"/>
        </w:rPr>
        <w:t>. The bank level</w:t>
      </w:r>
      <w:r>
        <w:rPr>
          <w:rFonts w:ascii="Times New Roman" w:hAnsi="Times New Roman" w:cs="Times New Roman"/>
          <w:sz w:val="24"/>
          <w:szCs w:val="24"/>
        </w:rPr>
        <w:t xml:space="preserve"> data</w:t>
      </w:r>
      <w:r w:rsidR="00116C91" w:rsidRPr="00A6160A">
        <w:rPr>
          <w:rFonts w:ascii="Times New Roman" w:hAnsi="Times New Roman" w:cs="Times New Roman"/>
          <w:sz w:val="24"/>
          <w:szCs w:val="24"/>
        </w:rPr>
        <w:t xml:space="preserve"> for each bank has not been included in the thesis for the sake of cleanness. Equation </w:t>
      </w:r>
      <w:r w:rsidR="00701BD5" w:rsidRPr="00000014">
        <w:rPr>
          <w:rFonts w:ascii="Times New Roman" w:hAnsi="Times New Roman" w:cs="Times New Roman"/>
          <w:color w:val="000000" w:themeColor="text1"/>
          <w:sz w:val="24"/>
          <w:szCs w:val="24"/>
        </w:rPr>
        <w:t>(2)</w:t>
      </w:r>
      <w:r w:rsidR="00701BD5" w:rsidRPr="00701BD5">
        <w:rPr>
          <w:rFonts w:ascii="Times New Roman" w:hAnsi="Times New Roman" w:cs="Times New Roman"/>
          <w:color w:val="000000" w:themeColor="text1"/>
          <w:sz w:val="24"/>
          <w:szCs w:val="24"/>
        </w:rPr>
        <w:t xml:space="preserve"> </w:t>
      </w:r>
      <w:r w:rsidR="00701BD5" w:rsidRPr="00000014">
        <w:rPr>
          <w:rFonts w:ascii="Times New Roman" w:hAnsi="Times New Roman" w:cs="Times New Roman"/>
          <w:color w:val="000000" w:themeColor="text1"/>
          <w:sz w:val="24"/>
          <w:szCs w:val="24"/>
        </w:rPr>
        <w:t>and</w:t>
      </w:r>
      <w:r w:rsidR="00701BD5">
        <w:rPr>
          <w:rFonts w:ascii="Times New Roman" w:hAnsi="Times New Roman" w:cs="Times New Roman"/>
          <w:color w:val="000000" w:themeColor="text1"/>
          <w:sz w:val="24"/>
          <w:szCs w:val="24"/>
        </w:rPr>
        <w:t xml:space="preserve"> the</w:t>
      </w:r>
      <w:r w:rsidR="00701BD5" w:rsidRPr="00000014">
        <w:rPr>
          <w:rFonts w:ascii="Times New Roman" w:hAnsi="Times New Roman" w:cs="Times New Roman"/>
          <w:color w:val="000000" w:themeColor="text1"/>
          <w:sz w:val="24"/>
          <w:szCs w:val="24"/>
        </w:rPr>
        <w:t xml:space="preserve"> Lerner Index in equation (1)</w:t>
      </w:r>
      <w:r w:rsidR="00701BD5">
        <w:rPr>
          <w:rFonts w:ascii="Times New Roman" w:hAnsi="Times New Roman" w:cs="Times New Roman"/>
          <w:color w:val="000000" w:themeColor="text1"/>
          <w:sz w:val="24"/>
          <w:szCs w:val="24"/>
        </w:rPr>
        <w:t xml:space="preserve"> are </w:t>
      </w:r>
      <w:r w:rsidR="00701BD5" w:rsidRPr="00A6160A">
        <w:rPr>
          <w:rFonts w:ascii="Times New Roman" w:hAnsi="Times New Roman" w:cs="Times New Roman"/>
          <w:sz w:val="24"/>
          <w:szCs w:val="24"/>
        </w:rPr>
        <w:t>appraised individually</w:t>
      </w:r>
      <w:r w:rsidR="00701BD5">
        <w:rPr>
          <w:rFonts w:ascii="Times New Roman" w:hAnsi="Times New Roman" w:cs="Times New Roman"/>
          <w:color w:val="000000" w:themeColor="text1"/>
          <w:sz w:val="24"/>
          <w:szCs w:val="24"/>
        </w:rPr>
        <w:t xml:space="preserve"> </w:t>
      </w:r>
      <w:r w:rsidR="00701BD5" w:rsidRPr="00000014">
        <w:rPr>
          <w:rFonts w:ascii="Times New Roman" w:hAnsi="Times New Roman" w:cs="Times New Roman"/>
          <w:color w:val="000000" w:themeColor="text1"/>
          <w:sz w:val="24"/>
          <w:szCs w:val="24"/>
        </w:rPr>
        <w:t>for each country in order to reflect the different technologies between countries (Fernandez de Guevara et al, 2005)</w:t>
      </w:r>
      <w:r w:rsidR="00701BD5">
        <w:rPr>
          <w:rFonts w:ascii="Times New Roman" w:hAnsi="Times New Roman" w:cs="Times New Roman"/>
          <w:color w:val="000000" w:themeColor="text1"/>
          <w:sz w:val="24"/>
          <w:szCs w:val="24"/>
        </w:rPr>
        <w:t>.</w:t>
      </w:r>
      <w:r w:rsidR="001530B6" w:rsidRPr="00A6160A">
        <w:rPr>
          <w:rFonts w:ascii="Times New Roman" w:hAnsi="Times New Roman" w:cs="Times New Roman"/>
          <w:color w:val="000000" w:themeColor="text1"/>
          <w:sz w:val="24"/>
          <w:szCs w:val="24"/>
        </w:rPr>
        <w:t xml:space="preserve">It has to be noted that the Lerner Index does not acquire risk </w:t>
      </w:r>
      <w:proofErr w:type="spellStart"/>
      <w:r w:rsidR="001530B6" w:rsidRPr="00A6160A">
        <w:rPr>
          <w:rFonts w:ascii="Times New Roman" w:hAnsi="Times New Roman" w:cs="Times New Roman"/>
          <w:color w:val="000000" w:themeColor="text1"/>
          <w:sz w:val="24"/>
          <w:szCs w:val="24"/>
        </w:rPr>
        <w:t>premia</w:t>
      </w:r>
      <w:proofErr w:type="spellEnd"/>
      <w:r w:rsidR="001530B6" w:rsidRPr="00A6160A">
        <w:rPr>
          <w:rFonts w:ascii="Times New Roman" w:hAnsi="Times New Roman" w:cs="Times New Roman"/>
          <w:color w:val="000000" w:themeColor="text1"/>
          <w:sz w:val="24"/>
          <w:szCs w:val="24"/>
        </w:rPr>
        <w:t xml:space="preserve"> in the prices of banks services and products, although it is the only measure for competition that is calculated at bank level (Berger et al, 2009).</w:t>
      </w:r>
      <w:r w:rsidR="00A76B57">
        <w:rPr>
          <w:rFonts w:ascii="Times New Roman" w:hAnsi="Times New Roman" w:cs="Times New Roman"/>
          <w:sz w:val="24"/>
          <w:szCs w:val="24"/>
        </w:rPr>
        <w:t xml:space="preserve"> </w:t>
      </w:r>
      <w:r w:rsidR="00AA5371" w:rsidRPr="00714BBA">
        <w:rPr>
          <w:rFonts w:ascii="Times New Roman" w:hAnsi="Times New Roman" w:cs="Times New Roman"/>
          <w:color w:val="000000" w:themeColor="text1"/>
          <w:sz w:val="24"/>
          <w:szCs w:val="24"/>
          <w:shd w:val="clear" w:color="auto" w:fill="FFFFFF"/>
        </w:rPr>
        <w:t xml:space="preserve">I measure bank profits </w:t>
      </w:r>
      <m:oMath>
        <m:r>
          <w:rPr>
            <w:rFonts w:ascii="Cambria Math" w:hAnsi="Cambria Math" w:cs="Times New Roman"/>
            <w:color w:val="000000" w:themeColor="text1"/>
            <w:sz w:val="24"/>
            <w:szCs w:val="24"/>
            <w:shd w:val="clear" w:color="auto" w:fill="FFFFFF"/>
          </w:rPr>
          <m:t>π</m:t>
        </m:r>
      </m:oMath>
      <w:r w:rsidR="00AA5371" w:rsidRPr="00714BBA">
        <w:rPr>
          <w:rFonts w:ascii="Times New Roman" w:hAnsi="Times New Roman" w:cs="Times New Roman"/>
          <w:color w:val="000000" w:themeColor="text1"/>
          <w:sz w:val="24"/>
          <w:szCs w:val="24"/>
          <w:shd w:val="clear" w:color="auto" w:fill="FFFFFF"/>
        </w:rPr>
        <w:t xml:space="preserve"> in equation (3) for the Boone indicator by means of total profits before taxes and </w:t>
      </w:r>
      <w:r w:rsidR="00701BD5">
        <w:rPr>
          <w:rFonts w:ascii="Times New Roman" w:hAnsi="Times New Roman" w:cs="Times New Roman"/>
          <w:color w:val="000000" w:themeColor="text1"/>
          <w:sz w:val="24"/>
          <w:szCs w:val="24"/>
          <w:shd w:val="clear" w:color="auto" w:fill="FFFFFF"/>
        </w:rPr>
        <w:t xml:space="preserve">use </w:t>
      </w:r>
      <w:r w:rsidR="00AA5371" w:rsidRPr="00714BBA">
        <w:rPr>
          <w:rFonts w:ascii="Times New Roman" w:hAnsi="Times New Roman" w:cs="Times New Roman"/>
          <w:color w:val="000000" w:themeColor="text1"/>
          <w:sz w:val="24"/>
          <w:szCs w:val="24"/>
          <w:shd w:val="clear" w:color="auto" w:fill="FFFFFF"/>
        </w:rPr>
        <w:t>the same</w:t>
      </w:r>
      <w:r w:rsidR="00701BD5">
        <w:rPr>
          <w:rFonts w:ascii="Times New Roman" w:hAnsi="Times New Roman" w:cs="Times New Roman"/>
          <w:color w:val="000000" w:themeColor="text1"/>
          <w:sz w:val="24"/>
          <w:szCs w:val="24"/>
          <w:shd w:val="clear" w:color="auto" w:fill="FFFFFF"/>
        </w:rPr>
        <w:t xml:space="preserve"> </w:t>
      </w:r>
      <w:r w:rsidR="00AA5371" w:rsidRPr="00714BBA">
        <w:rPr>
          <w:rFonts w:ascii="Times New Roman" w:hAnsi="Times New Roman" w:cs="Times New Roman"/>
          <w:color w:val="000000" w:themeColor="text1"/>
          <w:sz w:val="24"/>
          <w:szCs w:val="24"/>
          <w:shd w:val="clear" w:color="auto" w:fill="FFFFFF"/>
        </w:rPr>
        <w:t>marginal cost calculated for</w:t>
      </w:r>
      <w:r w:rsidR="00701BD5">
        <w:rPr>
          <w:rFonts w:ascii="Times New Roman" w:hAnsi="Times New Roman" w:cs="Times New Roman"/>
          <w:color w:val="000000" w:themeColor="text1"/>
          <w:sz w:val="24"/>
          <w:szCs w:val="24"/>
          <w:shd w:val="clear" w:color="auto" w:fill="FFFFFF"/>
        </w:rPr>
        <w:t xml:space="preserve"> the Lerner index in equation (3</w:t>
      </w:r>
      <w:r w:rsidR="00AA5371" w:rsidRPr="00714BBA">
        <w:rPr>
          <w:rFonts w:ascii="Times New Roman" w:hAnsi="Times New Roman" w:cs="Times New Roman"/>
          <w:color w:val="000000" w:themeColor="text1"/>
          <w:sz w:val="24"/>
          <w:szCs w:val="24"/>
          <w:shd w:val="clear" w:color="auto" w:fill="FFFFFF"/>
        </w:rPr>
        <w:t xml:space="preserve">), though the only difference is that the natural Log of </w:t>
      </w:r>
      <m:oMath>
        <m:r>
          <w:rPr>
            <w:rFonts w:ascii="Cambria Math" w:hAnsi="Cambria Math" w:cs="Times New Roman"/>
            <w:color w:val="000000" w:themeColor="text1"/>
            <w:sz w:val="24"/>
            <w:szCs w:val="24"/>
            <w:shd w:val="clear" w:color="auto" w:fill="FFFFFF"/>
          </w:rPr>
          <m:t>M</m:t>
        </m:r>
        <m:sSub>
          <m:sSubPr>
            <m:ctrlPr>
              <w:rPr>
                <w:rFonts w:ascii="Cambria Math" w:hAnsi="Cambria Math" w:cs="Times New Roman"/>
                <w:i/>
                <w:color w:val="000000" w:themeColor="text1"/>
                <w:sz w:val="24"/>
                <w:szCs w:val="24"/>
                <w:shd w:val="clear" w:color="auto" w:fill="FFFFFF"/>
              </w:rPr>
            </m:ctrlPr>
          </m:sSubPr>
          <m:e>
            <m:r>
              <w:rPr>
                <w:rFonts w:ascii="Cambria Math" w:hAnsi="Cambria Math" w:cs="Times New Roman"/>
                <w:color w:val="000000" w:themeColor="text1"/>
                <w:sz w:val="24"/>
                <w:szCs w:val="24"/>
                <w:shd w:val="clear" w:color="auto" w:fill="FFFFFF"/>
              </w:rPr>
              <m:t>C</m:t>
            </m:r>
          </m:e>
          <m:sub>
            <m:r>
              <w:rPr>
                <w:rFonts w:ascii="Cambria Math" w:hAnsi="Cambria Math" w:cs="Times New Roman"/>
                <w:color w:val="000000" w:themeColor="text1"/>
                <w:sz w:val="24"/>
                <w:szCs w:val="24"/>
                <w:shd w:val="clear" w:color="auto" w:fill="FFFFFF"/>
              </w:rPr>
              <m:t>it</m:t>
            </m:r>
          </m:sub>
        </m:sSub>
      </m:oMath>
      <w:r w:rsidR="00AA5371" w:rsidRPr="00714BBA">
        <w:rPr>
          <w:rFonts w:ascii="Times New Roman" w:hAnsi="Times New Roman" w:cs="Times New Roman"/>
          <w:color w:val="000000" w:themeColor="text1"/>
          <w:sz w:val="24"/>
          <w:szCs w:val="24"/>
          <w:shd w:val="clear" w:color="auto" w:fill="FFFFFF"/>
        </w:rPr>
        <w:t xml:space="preserve"> is taken in equation (4).</w:t>
      </w:r>
    </w:p>
    <w:p w:rsidR="00AA5371" w:rsidRDefault="00AA5371" w:rsidP="00AA5371">
      <w:pPr>
        <w:rPr>
          <w:rFonts w:ascii="Times New Roman" w:hAnsi="Times New Roman" w:cs="Times New Roman"/>
          <w:sz w:val="24"/>
          <w:szCs w:val="24"/>
        </w:rPr>
      </w:pPr>
    </w:p>
    <w:p w:rsidR="00714BBA" w:rsidRDefault="00714BBA" w:rsidP="00AA5371">
      <w:pPr>
        <w:rPr>
          <w:rFonts w:ascii="Times New Roman" w:hAnsi="Times New Roman" w:cs="Times New Roman"/>
          <w:sz w:val="24"/>
          <w:szCs w:val="24"/>
        </w:rPr>
      </w:pPr>
    </w:p>
    <w:tbl>
      <w:tblPr>
        <w:tblW w:w="10141" w:type="dxa"/>
        <w:tblInd w:w="93" w:type="dxa"/>
        <w:tblLook w:val="04A0" w:firstRow="1" w:lastRow="0" w:firstColumn="1" w:lastColumn="0" w:noHBand="0" w:noVBand="1"/>
      </w:tblPr>
      <w:tblGrid>
        <w:gridCol w:w="3181"/>
        <w:gridCol w:w="3820"/>
        <w:gridCol w:w="1220"/>
        <w:gridCol w:w="960"/>
        <w:gridCol w:w="960"/>
      </w:tblGrid>
      <w:tr w:rsidR="007C47AC" w:rsidRPr="007C47AC" w:rsidTr="007C47AC">
        <w:trPr>
          <w:trHeight w:val="300"/>
        </w:trPr>
        <w:tc>
          <w:tcPr>
            <w:tcW w:w="3181" w:type="dxa"/>
            <w:tcBorders>
              <w:top w:val="single" w:sz="8" w:space="0" w:color="auto"/>
              <w:left w:val="single" w:sz="8" w:space="0" w:color="auto"/>
              <w:bottom w:val="single" w:sz="4" w:space="0" w:color="auto"/>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Table</w:t>
            </w:r>
          </w:p>
        </w:tc>
        <w:tc>
          <w:tcPr>
            <w:tcW w:w="3820" w:type="dxa"/>
            <w:tcBorders>
              <w:top w:val="single" w:sz="8" w:space="0" w:color="auto"/>
              <w:left w:val="nil"/>
              <w:bottom w:val="single" w:sz="4" w:space="0" w:color="auto"/>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 </w:t>
            </w:r>
          </w:p>
        </w:tc>
        <w:tc>
          <w:tcPr>
            <w:tcW w:w="1220" w:type="dxa"/>
            <w:tcBorders>
              <w:top w:val="single" w:sz="8" w:space="0" w:color="auto"/>
              <w:left w:val="nil"/>
              <w:bottom w:val="single" w:sz="4" w:space="0" w:color="auto"/>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 </w:t>
            </w:r>
          </w:p>
        </w:tc>
        <w:tc>
          <w:tcPr>
            <w:tcW w:w="960" w:type="dxa"/>
            <w:tcBorders>
              <w:top w:val="single" w:sz="8" w:space="0" w:color="auto"/>
              <w:left w:val="nil"/>
              <w:bottom w:val="single" w:sz="4" w:space="0" w:color="auto"/>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 </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 </w:t>
            </w:r>
          </w:p>
        </w:tc>
      </w:tr>
      <w:tr w:rsidR="007C47AC" w:rsidRPr="007C47AC" w:rsidTr="007C47AC">
        <w:trPr>
          <w:trHeight w:val="300"/>
        </w:trPr>
        <w:tc>
          <w:tcPr>
            <w:tcW w:w="3181" w:type="dxa"/>
            <w:tcBorders>
              <w:top w:val="nil"/>
              <w:left w:val="single" w:sz="8" w:space="0" w:color="auto"/>
              <w:bottom w:val="single" w:sz="4" w:space="0" w:color="auto"/>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Summary statistics</w:t>
            </w:r>
          </w:p>
        </w:tc>
        <w:tc>
          <w:tcPr>
            <w:tcW w:w="3820" w:type="dxa"/>
            <w:tcBorders>
              <w:top w:val="nil"/>
              <w:left w:val="nil"/>
              <w:bottom w:val="single" w:sz="4" w:space="0" w:color="auto"/>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 </w:t>
            </w:r>
          </w:p>
        </w:tc>
        <w:tc>
          <w:tcPr>
            <w:tcW w:w="1220" w:type="dxa"/>
            <w:tcBorders>
              <w:top w:val="nil"/>
              <w:left w:val="nil"/>
              <w:bottom w:val="single" w:sz="4" w:space="0" w:color="auto"/>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 </w:t>
            </w:r>
          </w:p>
        </w:tc>
        <w:tc>
          <w:tcPr>
            <w:tcW w:w="960" w:type="dxa"/>
            <w:tcBorders>
              <w:top w:val="nil"/>
              <w:left w:val="nil"/>
              <w:bottom w:val="single" w:sz="4" w:space="0" w:color="auto"/>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 </w:t>
            </w:r>
          </w:p>
        </w:tc>
        <w:tc>
          <w:tcPr>
            <w:tcW w:w="960" w:type="dxa"/>
            <w:tcBorders>
              <w:top w:val="nil"/>
              <w:left w:val="nil"/>
              <w:bottom w:val="single" w:sz="4" w:space="0" w:color="auto"/>
              <w:right w:val="single" w:sz="8" w:space="0" w:color="auto"/>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 </w:t>
            </w:r>
          </w:p>
        </w:tc>
      </w:tr>
      <w:tr w:rsidR="007C47AC" w:rsidRPr="007C47AC" w:rsidTr="007C47AC">
        <w:trPr>
          <w:trHeight w:val="300"/>
        </w:trPr>
        <w:tc>
          <w:tcPr>
            <w:tcW w:w="3181" w:type="dxa"/>
            <w:tcBorders>
              <w:top w:val="nil"/>
              <w:left w:val="single" w:sz="8" w:space="0" w:color="auto"/>
              <w:bottom w:val="single" w:sz="4" w:space="0" w:color="auto"/>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 xml:space="preserve">Variable </w:t>
            </w:r>
          </w:p>
        </w:tc>
        <w:tc>
          <w:tcPr>
            <w:tcW w:w="3820" w:type="dxa"/>
            <w:tcBorders>
              <w:top w:val="nil"/>
              <w:left w:val="nil"/>
              <w:bottom w:val="single" w:sz="4" w:space="0" w:color="auto"/>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Mean</w:t>
            </w:r>
          </w:p>
        </w:tc>
        <w:tc>
          <w:tcPr>
            <w:tcW w:w="1220" w:type="dxa"/>
            <w:tcBorders>
              <w:top w:val="nil"/>
              <w:left w:val="nil"/>
              <w:bottom w:val="single" w:sz="4" w:space="0" w:color="auto"/>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Std. dev.</w:t>
            </w:r>
          </w:p>
        </w:tc>
        <w:tc>
          <w:tcPr>
            <w:tcW w:w="960" w:type="dxa"/>
            <w:tcBorders>
              <w:top w:val="nil"/>
              <w:left w:val="nil"/>
              <w:bottom w:val="single" w:sz="4" w:space="0" w:color="auto"/>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Min</w:t>
            </w:r>
          </w:p>
        </w:tc>
        <w:tc>
          <w:tcPr>
            <w:tcW w:w="960" w:type="dxa"/>
            <w:tcBorders>
              <w:top w:val="nil"/>
              <w:left w:val="nil"/>
              <w:bottom w:val="single" w:sz="4" w:space="0" w:color="auto"/>
              <w:right w:val="single" w:sz="8" w:space="0" w:color="auto"/>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 xml:space="preserve">Max </w:t>
            </w:r>
          </w:p>
        </w:tc>
      </w:tr>
      <w:tr w:rsidR="007C47AC" w:rsidRPr="007C47AC" w:rsidTr="007C47AC">
        <w:trPr>
          <w:trHeight w:val="300"/>
        </w:trPr>
        <w:tc>
          <w:tcPr>
            <w:tcW w:w="3181" w:type="dxa"/>
            <w:tcBorders>
              <w:top w:val="nil"/>
              <w:left w:val="single" w:sz="8" w:space="0" w:color="auto"/>
              <w:bottom w:val="nil"/>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 real total earnings (Q)</w:t>
            </w:r>
          </w:p>
        </w:tc>
        <w:tc>
          <w:tcPr>
            <w:tcW w:w="3820" w:type="dxa"/>
            <w:tcBorders>
              <w:top w:val="nil"/>
              <w:left w:val="nil"/>
              <w:bottom w:val="nil"/>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193.7748</w:t>
            </w:r>
          </w:p>
        </w:tc>
        <w:tc>
          <w:tcPr>
            <w:tcW w:w="1220" w:type="dxa"/>
            <w:tcBorders>
              <w:top w:val="nil"/>
              <w:left w:val="nil"/>
              <w:bottom w:val="nil"/>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0.9996</w:t>
            </w:r>
          </w:p>
        </w:tc>
        <w:tc>
          <w:tcPr>
            <w:tcW w:w="960" w:type="dxa"/>
            <w:tcBorders>
              <w:top w:val="nil"/>
              <w:left w:val="nil"/>
              <w:bottom w:val="nil"/>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8.6552</w:t>
            </w:r>
          </w:p>
        </w:tc>
        <w:tc>
          <w:tcPr>
            <w:tcW w:w="960" w:type="dxa"/>
            <w:tcBorders>
              <w:top w:val="nil"/>
              <w:left w:val="nil"/>
              <w:bottom w:val="nil"/>
              <w:right w:val="single" w:sz="8" w:space="0" w:color="auto"/>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12.0294</w:t>
            </w:r>
          </w:p>
        </w:tc>
      </w:tr>
      <w:tr w:rsidR="007C47AC" w:rsidRPr="007C47AC" w:rsidTr="007C47AC">
        <w:trPr>
          <w:trHeight w:val="300"/>
        </w:trPr>
        <w:tc>
          <w:tcPr>
            <w:tcW w:w="3181" w:type="dxa"/>
            <w:tcBorders>
              <w:top w:val="nil"/>
              <w:left w:val="single" w:sz="8" w:space="0" w:color="auto"/>
              <w:bottom w:val="nil"/>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Total bank cost</w:t>
            </w:r>
            <w:r>
              <w:rPr>
                <w:rFonts w:ascii="Calibri" w:eastAsia="Times New Roman" w:hAnsi="Calibri" w:cs="Times New Roman"/>
                <w:color w:val="000000"/>
              </w:rPr>
              <w:t xml:space="preserve"> (TC)</w:t>
            </w:r>
          </w:p>
        </w:tc>
        <w:tc>
          <w:tcPr>
            <w:tcW w:w="3820" w:type="dxa"/>
            <w:tcBorders>
              <w:top w:val="nil"/>
              <w:left w:val="nil"/>
              <w:bottom w:val="nil"/>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8.3337</w:t>
            </w:r>
          </w:p>
        </w:tc>
        <w:tc>
          <w:tcPr>
            <w:tcW w:w="1220" w:type="dxa"/>
            <w:tcBorders>
              <w:top w:val="nil"/>
              <w:left w:val="nil"/>
              <w:bottom w:val="nil"/>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0.1949</w:t>
            </w:r>
          </w:p>
        </w:tc>
        <w:tc>
          <w:tcPr>
            <w:tcW w:w="960" w:type="dxa"/>
            <w:tcBorders>
              <w:top w:val="nil"/>
              <w:left w:val="nil"/>
              <w:bottom w:val="nil"/>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0.1879</w:t>
            </w:r>
          </w:p>
        </w:tc>
        <w:tc>
          <w:tcPr>
            <w:tcW w:w="960" w:type="dxa"/>
            <w:tcBorders>
              <w:top w:val="nil"/>
              <w:left w:val="nil"/>
              <w:bottom w:val="nil"/>
              <w:right w:val="single" w:sz="8" w:space="0" w:color="auto"/>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0.9487</w:t>
            </w:r>
          </w:p>
        </w:tc>
      </w:tr>
      <w:tr w:rsidR="007C47AC" w:rsidRPr="007C47AC" w:rsidTr="007C47AC">
        <w:trPr>
          <w:trHeight w:val="300"/>
        </w:trPr>
        <w:tc>
          <w:tcPr>
            <w:tcW w:w="3181" w:type="dxa"/>
            <w:tcBorders>
              <w:top w:val="nil"/>
              <w:left w:val="single" w:sz="8" w:space="0" w:color="auto"/>
              <w:bottom w:val="nil"/>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 xml:space="preserve">Price of labour(WL) </w:t>
            </w:r>
          </w:p>
        </w:tc>
        <w:tc>
          <w:tcPr>
            <w:tcW w:w="3820" w:type="dxa"/>
            <w:tcBorders>
              <w:top w:val="nil"/>
              <w:left w:val="nil"/>
              <w:bottom w:val="nil"/>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1.7311</w:t>
            </w:r>
          </w:p>
        </w:tc>
        <w:tc>
          <w:tcPr>
            <w:tcW w:w="1220" w:type="dxa"/>
            <w:tcBorders>
              <w:top w:val="nil"/>
              <w:left w:val="nil"/>
              <w:bottom w:val="nil"/>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0.0385</w:t>
            </w:r>
          </w:p>
        </w:tc>
        <w:tc>
          <w:tcPr>
            <w:tcW w:w="960" w:type="dxa"/>
            <w:tcBorders>
              <w:top w:val="nil"/>
              <w:left w:val="nil"/>
              <w:bottom w:val="nil"/>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0.0332</w:t>
            </w:r>
          </w:p>
        </w:tc>
        <w:tc>
          <w:tcPr>
            <w:tcW w:w="960" w:type="dxa"/>
            <w:tcBorders>
              <w:top w:val="nil"/>
              <w:left w:val="nil"/>
              <w:bottom w:val="nil"/>
              <w:right w:val="single" w:sz="8" w:space="0" w:color="auto"/>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0.1954</w:t>
            </w:r>
          </w:p>
        </w:tc>
      </w:tr>
      <w:tr w:rsidR="007C47AC" w:rsidRPr="007C47AC" w:rsidTr="007C47AC">
        <w:trPr>
          <w:trHeight w:val="300"/>
        </w:trPr>
        <w:tc>
          <w:tcPr>
            <w:tcW w:w="3181" w:type="dxa"/>
            <w:tcBorders>
              <w:top w:val="nil"/>
              <w:left w:val="single" w:sz="8" w:space="0" w:color="auto"/>
              <w:bottom w:val="nil"/>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Price of physical capital(WK)</w:t>
            </w:r>
          </w:p>
        </w:tc>
        <w:tc>
          <w:tcPr>
            <w:tcW w:w="3820" w:type="dxa"/>
            <w:tcBorders>
              <w:top w:val="nil"/>
              <w:left w:val="nil"/>
              <w:bottom w:val="nil"/>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47.5379</w:t>
            </w:r>
          </w:p>
        </w:tc>
        <w:tc>
          <w:tcPr>
            <w:tcW w:w="1220" w:type="dxa"/>
            <w:tcBorders>
              <w:top w:val="nil"/>
              <w:left w:val="nil"/>
              <w:bottom w:val="nil"/>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0.6857</w:t>
            </w:r>
          </w:p>
        </w:tc>
        <w:tc>
          <w:tcPr>
            <w:tcW w:w="960" w:type="dxa"/>
            <w:tcBorders>
              <w:top w:val="nil"/>
              <w:left w:val="nil"/>
              <w:bottom w:val="nil"/>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1.4606</w:t>
            </w:r>
          </w:p>
        </w:tc>
        <w:tc>
          <w:tcPr>
            <w:tcW w:w="960" w:type="dxa"/>
            <w:tcBorders>
              <w:top w:val="nil"/>
              <w:left w:val="nil"/>
              <w:bottom w:val="nil"/>
              <w:right w:val="single" w:sz="8" w:space="0" w:color="auto"/>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4.0981</w:t>
            </w:r>
          </w:p>
        </w:tc>
      </w:tr>
      <w:tr w:rsidR="007C47AC" w:rsidRPr="007C47AC" w:rsidTr="007C47AC">
        <w:trPr>
          <w:trHeight w:val="300"/>
        </w:trPr>
        <w:tc>
          <w:tcPr>
            <w:tcW w:w="3181" w:type="dxa"/>
            <w:tcBorders>
              <w:top w:val="nil"/>
              <w:left w:val="single" w:sz="8" w:space="0" w:color="auto"/>
              <w:bottom w:val="nil"/>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Price of deposits(WD)</w:t>
            </w:r>
          </w:p>
        </w:tc>
        <w:tc>
          <w:tcPr>
            <w:tcW w:w="3820" w:type="dxa"/>
            <w:tcBorders>
              <w:top w:val="nil"/>
              <w:left w:val="nil"/>
              <w:bottom w:val="nil"/>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11.5156</w:t>
            </w:r>
          </w:p>
        </w:tc>
        <w:tc>
          <w:tcPr>
            <w:tcW w:w="1220" w:type="dxa"/>
            <w:tcBorders>
              <w:top w:val="nil"/>
              <w:left w:val="nil"/>
              <w:bottom w:val="nil"/>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0.7582</w:t>
            </w:r>
          </w:p>
        </w:tc>
        <w:tc>
          <w:tcPr>
            <w:tcW w:w="960" w:type="dxa"/>
            <w:tcBorders>
              <w:top w:val="nil"/>
              <w:left w:val="nil"/>
              <w:bottom w:val="nil"/>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0.1844</w:t>
            </w:r>
          </w:p>
        </w:tc>
        <w:tc>
          <w:tcPr>
            <w:tcW w:w="960" w:type="dxa"/>
            <w:tcBorders>
              <w:top w:val="nil"/>
              <w:left w:val="nil"/>
              <w:bottom w:val="nil"/>
              <w:right w:val="single" w:sz="8" w:space="0" w:color="auto"/>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3.5288</w:t>
            </w:r>
          </w:p>
        </w:tc>
      </w:tr>
      <w:tr w:rsidR="007C47AC" w:rsidRPr="007C47AC" w:rsidTr="007C47AC">
        <w:trPr>
          <w:trHeight w:val="300"/>
        </w:trPr>
        <w:tc>
          <w:tcPr>
            <w:tcW w:w="3181" w:type="dxa"/>
            <w:tcBorders>
              <w:top w:val="nil"/>
              <w:left w:val="single" w:sz="8" w:space="0" w:color="auto"/>
              <w:bottom w:val="nil"/>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 xml:space="preserve"> Aggregate price (Pit)</w:t>
            </w:r>
          </w:p>
        </w:tc>
        <w:tc>
          <w:tcPr>
            <w:tcW w:w="3820" w:type="dxa"/>
            <w:tcBorders>
              <w:top w:val="nil"/>
              <w:left w:val="nil"/>
              <w:bottom w:val="nil"/>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6.1266</w:t>
            </w:r>
          </w:p>
        </w:tc>
        <w:tc>
          <w:tcPr>
            <w:tcW w:w="1220" w:type="dxa"/>
            <w:tcBorders>
              <w:top w:val="nil"/>
              <w:left w:val="nil"/>
              <w:bottom w:val="nil"/>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0.1355</w:t>
            </w:r>
          </w:p>
        </w:tc>
        <w:tc>
          <w:tcPr>
            <w:tcW w:w="960" w:type="dxa"/>
            <w:tcBorders>
              <w:top w:val="nil"/>
              <w:left w:val="nil"/>
              <w:bottom w:val="nil"/>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0.1305</w:t>
            </w:r>
          </w:p>
        </w:tc>
        <w:tc>
          <w:tcPr>
            <w:tcW w:w="960" w:type="dxa"/>
            <w:tcBorders>
              <w:top w:val="nil"/>
              <w:left w:val="nil"/>
              <w:bottom w:val="nil"/>
              <w:right w:val="single" w:sz="8" w:space="0" w:color="auto"/>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0.6558</w:t>
            </w:r>
          </w:p>
        </w:tc>
      </w:tr>
      <w:tr w:rsidR="007C47AC" w:rsidRPr="007C47AC" w:rsidTr="007C47AC">
        <w:trPr>
          <w:trHeight w:val="315"/>
        </w:trPr>
        <w:tc>
          <w:tcPr>
            <w:tcW w:w="3181" w:type="dxa"/>
            <w:tcBorders>
              <w:top w:val="nil"/>
              <w:left w:val="single" w:sz="8" w:space="0" w:color="auto"/>
              <w:bottom w:val="single" w:sz="8" w:space="0" w:color="auto"/>
              <w:right w:val="nil"/>
            </w:tcBorders>
            <w:shd w:val="clear" w:color="auto" w:fill="auto"/>
            <w:noWrap/>
            <w:vAlign w:val="bottom"/>
            <w:hideMark/>
          </w:tcPr>
          <w:p w:rsidR="007C47AC" w:rsidRPr="007C47AC" w:rsidRDefault="007C47AC" w:rsidP="007C47AC">
            <w:pPr>
              <w:spacing w:after="0" w:line="240" w:lineRule="auto"/>
              <w:rPr>
                <w:rFonts w:ascii="Calibri" w:eastAsia="Times New Roman" w:hAnsi="Calibri" w:cs="Times New Roman"/>
                <w:color w:val="000000"/>
              </w:rPr>
            </w:pPr>
            <w:r w:rsidRPr="007C47AC">
              <w:rPr>
                <w:rFonts w:ascii="Calibri" w:eastAsia="Times New Roman" w:hAnsi="Calibri" w:cs="Times New Roman"/>
                <w:color w:val="000000"/>
              </w:rPr>
              <w:t>bank profits</w:t>
            </w:r>
            <w:r>
              <w:rPr>
                <w:rFonts w:ascii="Calibri" w:eastAsia="Times New Roman" w:hAnsi="Calibri" w:cs="Times New Roman"/>
                <w:color w:val="000000"/>
              </w:rPr>
              <w:t xml:space="preserve"> (</w:t>
            </w:r>
            <m:oMath>
              <m:r>
                <w:rPr>
                  <w:rFonts w:ascii="Cambria Math" w:eastAsia="Times New Roman" w:hAnsi="Cambria Math" w:cs="Times New Roman"/>
                  <w:color w:val="000000"/>
                </w:rPr>
                <m:t>π</m:t>
              </m:r>
            </m:oMath>
            <w:r>
              <w:rPr>
                <w:rFonts w:ascii="Calibri" w:eastAsia="Times New Roman" w:hAnsi="Calibri" w:cs="Times New Roman"/>
                <w:color w:val="000000"/>
              </w:rPr>
              <w:t>)</w:t>
            </w:r>
          </w:p>
        </w:tc>
        <w:tc>
          <w:tcPr>
            <w:tcW w:w="3820" w:type="dxa"/>
            <w:tcBorders>
              <w:top w:val="nil"/>
              <w:left w:val="nil"/>
              <w:bottom w:val="single" w:sz="8" w:space="0" w:color="auto"/>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95.0925</w:t>
            </w:r>
          </w:p>
        </w:tc>
        <w:tc>
          <w:tcPr>
            <w:tcW w:w="1220" w:type="dxa"/>
            <w:tcBorders>
              <w:top w:val="nil"/>
              <w:left w:val="nil"/>
              <w:bottom w:val="single" w:sz="8" w:space="0" w:color="auto"/>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0.9931</w:t>
            </w:r>
          </w:p>
        </w:tc>
        <w:tc>
          <w:tcPr>
            <w:tcW w:w="960" w:type="dxa"/>
            <w:tcBorders>
              <w:top w:val="nil"/>
              <w:left w:val="nil"/>
              <w:bottom w:val="single" w:sz="8" w:space="0" w:color="auto"/>
              <w:right w:val="nil"/>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3.3459</w:t>
            </w:r>
          </w:p>
        </w:tc>
        <w:tc>
          <w:tcPr>
            <w:tcW w:w="960" w:type="dxa"/>
            <w:tcBorders>
              <w:top w:val="nil"/>
              <w:left w:val="nil"/>
              <w:bottom w:val="single" w:sz="8" w:space="0" w:color="auto"/>
              <w:right w:val="single" w:sz="8" w:space="0" w:color="auto"/>
            </w:tcBorders>
            <w:shd w:val="clear" w:color="auto" w:fill="auto"/>
            <w:noWrap/>
            <w:vAlign w:val="bottom"/>
            <w:hideMark/>
          </w:tcPr>
          <w:p w:rsidR="007C47AC" w:rsidRPr="007C47AC" w:rsidRDefault="007C47AC" w:rsidP="007C47AC">
            <w:pPr>
              <w:spacing w:after="0" w:line="240" w:lineRule="auto"/>
              <w:jc w:val="right"/>
              <w:rPr>
                <w:rFonts w:ascii="Calibri" w:eastAsia="Times New Roman" w:hAnsi="Calibri" w:cs="Times New Roman"/>
                <w:color w:val="000000"/>
              </w:rPr>
            </w:pPr>
            <w:r w:rsidRPr="007C47AC">
              <w:rPr>
                <w:rFonts w:ascii="Calibri" w:eastAsia="Times New Roman" w:hAnsi="Calibri" w:cs="Times New Roman"/>
                <w:color w:val="000000"/>
              </w:rPr>
              <w:t>6.7413</w:t>
            </w:r>
          </w:p>
        </w:tc>
      </w:tr>
    </w:tbl>
    <w:p w:rsidR="00714BBA" w:rsidRDefault="00714BBA" w:rsidP="00AA5371">
      <w:pPr>
        <w:rPr>
          <w:rFonts w:ascii="Times New Roman" w:hAnsi="Times New Roman" w:cs="Times New Roman"/>
          <w:sz w:val="24"/>
          <w:szCs w:val="24"/>
        </w:rPr>
      </w:pPr>
    </w:p>
    <w:p w:rsidR="00714BBA" w:rsidRDefault="00714BBA" w:rsidP="00AA5371">
      <w:pPr>
        <w:rPr>
          <w:rFonts w:ascii="Times New Roman" w:hAnsi="Times New Roman" w:cs="Times New Roman"/>
          <w:sz w:val="24"/>
          <w:szCs w:val="24"/>
        </w:rPr>
      </w:pPr>
      <w:bookmarkStart w:id="0" w:name="_GoBack"/>
      <w:bookmarkEnd w:id="0"/>
    </w:p>
    <w:p w:rsidR="006A6B31" w:rsidRDefault="006A6B31" w:rsidP="006A6B31">
      <w:pPr>
        <w:rPr>
          <w:u w:val="single"/>
        </w:rPr>
      </w:pPr>
    </w:p>
    <w:p w:rsidR="006A6B31" w:rsidRDefault="006A6B31" w:rsidP="006A6B31">
      <w:pPr>
        <w:rPr>
          <w:u w:val="single"/>
        </w:rPr>
      </w:pPr>
    </w:p>
    <w:p w:rsidR="006A6B31" w:rsidRDefault="006A6B31" w:rsidP="006A6B31">
      <w:pPr>
        <w:rPr>
          <w:u w:val="single"/>
        </w:rPr>
      </w:pPr>
    </w:p>
    <w:p w:rsidR="006A6B31" w:rsidRDefault="006A6B31" w:rsidP="006A6B31">
      <w:pPr>
        <w:rPr>
          <w:u w:val="single"/>
        </w:rPr>
      </w:pPr>
    </w:p>
    <w:p w:rsidR="006A6B31" w:rsidRDefault="006A6B31" w:rsidP="006A6B31">
      <w:pPr>
        <w:rPr>
          <w:u w:val="single"/>
        </w:rPr>
      </w:pPr>
    </w:p>
    <w:p w:rsidR="006A6B31" w:rsidRDefault="006A6B31" w:rsidP="006A6B31">
      <w:pPr>
        <w:rPr>
          <w:u w:val="single"/>
        </w:rPr>
      </w:pPr>
    </w:p>
    <w:p w:rsidR="006A6B31" w:rsidRDefault="00A6160A" w:rsidP="006A6B31">
      <w:pPr>
        <w:rPr>
          <w:u w:val="single"/>
        </w:rPr>
      </w:pPr>
      <w:r>
        <w:rPr>
          <w:u w:val="single"/>
        </w:rPr>
        <w:t xml:space="preserve">Bibliography </w:t>
      </w:r>
    </w:p>
    <w:p w:rsidR="00A6160A" w:rsidRDefault="00A6160A" w:rsidP="00A6160A">
      <w:pPr>
        <w:rPr>
          <w:rFonts w:ascii="Arial" w:hAnsi="Arial" w:cs="Arial"/>
          <w:color w:val="222222"/>
          <w:sz w:val="20"/>
          <w:szCs w:val="20"/>
          <w:shd w:val="clear" w:color="auto" w:fill="FFFFFF"/>
        </w:rPr>
      </w:pPr>
      <w:proofErr w:type="spellStart"/>
      <w:proofErr w:type="gramStart"/>
      <w:r>
        <w:rPr>
          <w:rFonts w:ascii="Arial" w:hAnsi="Arial" w:cs="Arial"/>
          <w:color w:val="222222"/>
          <w:sz w:val="20"/>
          <w:szCs w:val="20"/>
          <w:shd w:val="clear" w:color="auto" w:fill="FFFFFF"/>
        </w:rPr>
        <w:t>Almarzoqi</w:t>
      </w:r>
      <w:proofErr w:type="spellEnd"/>
      <w:r>
        <w:rPr>
          <w:rFonts w:ascii="Arial" w:hAnsi="Arial" w:cs="Arial"/>
          <w:color w:val="222222"/>
          <w:sz w:val="20"/>
          <w:szCs w:val="20"/>
          <w:shd w:val="clear" w:color="auto" w:fill="FFFFFF"/>
        </w:rPr>
        <w:t xml:space="preserve">, R., </w:t>
      </w:r>
      <w:proofErr w:type="spellStart"/>
      <w:r>
        <w:rPr>
          <w:rFonts w:ascii="Arial" w:hAnsi="Arial" w:cs="Arial"/>
          <w:color w:val="222222"/>
          <w:sz w:val="20"/>
          <w:szCs w:val="20"/>
          <w:shd w:val="clear" w:color="auto" w:fill="FFFFFF"/>
        </w:rPr>
        <w:t>Naceur</w:t>
      </w:r>
      <w:proofErr w:type="spellEnd"/>
      <w:r>
        <w:rPr>
          <w:rFonts w:ascii="Arial" w:hAnsi="Arial" w:cs="Arial"/>
          <w:color w:val="222222"/>
          <w:sz w:val="20"/>
          <w:szCs w:val="20"/>
          <w:shd w:val="clear" w:color="auto" w:fill="FFFFFF"/>
        </w:rPr>
        <w:t xml:space="preserve">, M.S.B. and </w:t>
      </w:r>
      <w:proofErr w:type="spellStart"/>
      <w:r>
        <w:rPr>
          <w:rFonts w:ascii="Arial" w:hAnsi="Arial" w:cs="Arial"/>
          <w:color w:val="222222"/>
          <w:sz w:val="20"/>
          <w:szCs w:val="20"/>
          <w:shd w:val="clear" w:color="auto" w:fill="FFFFFF"/>
        </w:rPr>
        <w:t>Scopelliti</w:t>
      </w:r>
      <w:proofErr w:type="spellEnd"/>
      <w:r>
        <w:rPr>
          <w:rFonts w:ascii="Arial" w:hAnsi="Arial" w:cs="Arial"/>
          <w:color w:val="222222"/>
          <w:sz w:val="20"/>
          <w:szCs w:val="20"/>
          <w:shd w:val="clear" w:color="auto" w:fill="FFFFFF"/>
        </w:rPr>
        <w:t>, A. (2015).</w:t>
      </w:r>
      <w:proofErr w:type="gramEnd"/>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How Does Bank Competition Affect Solvency, Liquidity and Credit Risk? Evidence from the MENA Countries</w:t>
      </w:r>
      <w:r>
        <w:rPr>
          <w:rStyle w:val="apple-converted-space"/>
          <w:rFonts w:ascii="Arial" w:hAnsi="Arial" w:cs="Arial"/>
          <w:color w:val="222222"/>
          <w:sz w:val="20"/>
          <w:szCs w:val="20"/>
          <w:shd w:val="clear" w:color="auto" w:fill="FFFFFF"/>
        </w:rPr>
        <w:t> </w:t>
      </w:r>
      <w:r>
        <w:rPr>
          <w:rFonts w:ascii="Arial" w:hAnsi="Arial" w:cs="Arial"/>
          <w:color w:val="222222"/>
          <w:sz w:val="20"/>
          <w:szCs w:val="20"/>
          <w:shd w:val="clear" w:color="auto" w:fill="FFFFFF"/>
        </w:rPr>
        <w:t>(No. 15-210). International Monetary Fund, pp. 1-30.</w:t>
      </w:r>
    </w:p>
    <w:p w:rsidR="00A6160A" w:rsidRPr="00A6160A" w:rsidRDefault="00A6160A" w:rsidP="00A6160A">
      <w:pPr>
        <w:rPr>
          <w:rFonts w:ascii="Arial" w:hAnsi="Arial" w:cs="Arial"/>
          <w:color w:val="000000" w:themeColor="text1"/>
          <w:sz w:val="20"/>
          <w:szCs w:val="20"/>
          <w:shd w:val="clear" w:color="auto" w:fill="FFFFFF"/>
        </w:rPr>
      </w:pPr>
      <w:proofErr w:type="gramStart"/>
      <w:r>
        <w:rPr>
          <w:rFonts w:ascii="Arial" w:hAnsi="Arial" w:cs="Arial"/>
          <w:color w:val="222222"/>
          <w:sz w:val="20"/>
          <w:szCs w:val="20"/>
          <w:shd w:val="clear" w:color="auto" w:fill="FFFFFF"/>
        </w:rPr>
        <w:t xml:space="preserve">Beck, T., </w:t>
      </w:r>
      <w:proofErr w:type="spellStart"/>
      <w:r>
        <w:rPr>
          <w:rFonts w:ascii="Arial" w:hAnsi="Arial" w:cs="Arial"/>
          <w:color w:val="222222"/>
          <w:sz w:val="20"/>
          <w:szCs w:val="20"/>
          <w:shd w:val="clear" w:color="auto" w:fill="FFFFFF"/>
        </w:rPr>
        <w:t>Demirgüç-Kunt</w:t>
      </w:r>
      <w:proofErr w:type="spellEnd"/>
      <w:r>
        <w:rPr>
          <w:rFonts w:ascii="Arial" w:hAnsi="Arial" w:cs="Arial"/>
          <w:color w:val="222222"/>
          <w:sz w:val="20"/>
          <w:szCs w:val="20"/>
          <w:shd w:val="clear" w:color="auto" w:fill="FFFFFF"/>
        </w:rPr>
        <w:t>, A. and Levine, R. (2006).</w:t>
      </w:r>
      <w:proofErr w:type="gramEnd"/>
      <w:r>
        <w:rPr>
          <w:rFonts w:ascii="Arial" w:hAnsi="Arial" w:cs="Arial"/>
          <w:color w:val="222222"/>
          <w:sz w:val="20"/>
          <w:szCs w:val="20"/>
          <w:shd w:val="clear" w:color="auto" w:fill="FFFFFF"/>
        </w:rPr>
        <w:t xml:space="preserve"> Bank concentration, competition, and crises: First results. </w:t>
      </w:r>
      <w:proofErr w:type="gramStart"/>
      <w:r>
        <w:rPr>
          <w:rFonts w:ascii="Arial" w:hAnsi="Arial" w:cs="Arial"/>
          <w:i/>
          <w:iCs/>
          <w:color w:val="222222"/>
          <w:sz w:val="20"/>
          <w:szCs w:val="20"/>
          <w:shd w:val="clear" w:color="auto" w:fill="FFFFFF"/>
        </w:rPr>
        <w:t>Journal of Banking &amp; Finance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(5), pp.1581-1603.</w:t>
      </w:r>
      <w:proofErr w:type="gramEnd"/>
    </w:p>
    <w:p w:rsidR="00A6160A" w:rsidRDefault="00A6160A" w:rsidP="00A6160A">
      <w:pPr>
        <w:rPr>
          <w:rFonts w:ascii="Arial" w:hAnsi="Arial" w:cs="Arial"/>
          <w:color w:val="222222"/>
          <w:sz w:val="20"/>
          <w:szCs w:val="20"/>
          <w:shd w:val="clear" w:color="auto" w:fill="FFFFFF"/>
        </w:rPr>
      </w:pPr>
      <w:proofErr w:type="gramStart"/>
      <w:r>
        <w:rPr>
          <w:rFonts w:ascii="Arial" w:hAnsi="Arial" w:cs="Arial"/>
          <w:color w:val="222222"/>
          <w:sz w:val="20"/>
          <w:szCs w:val="20"/>
          <w:shd w:val="clear" w:color="auto" w:fill="FFFFFF"/>
        </w:rPr>
        <w:t xml:space="preserve">Berger, A.N., </w:t>
      </w:r>
      <w:proofErr w:type="spellStart"/>
      <w:r>
        <w:rPr>
          <w:rFonts w:ascii="Arial" w:hAnsi="Arial" w:cs="Arial"/>
          <w:color w:val="222222"/>
          <w:sz w:val="20"/>
          <w:szCs w:val="20"/>
          <w:shd w:val="clear" w:color="auto" w:fill="FFFFFF"/>
        </w:rPr>
        <w:t>Klapper</w:t>
      </w:r>
      <w:proofErr w:type="spellEnd"/>
      <w:r>
        <w:rPr>
          <w:rFonts w:ascii="Arial" w:hAnsi="Arial" w:cs="Arial"/>
          <w:color w:val="222222"/>
          <w:sz w:val="20"/>
          <w:szCs w:val="20"/>
          <w:shd w:val="clear" w:color="auto" w:fill="FFFFFF"/>
        </w:rPr>
        <w:t>, L.F. and Turk-</w:t>
      </w:r>
      <w:proofErr w:type="spellStart"/>
      <w:r>
        <w:rPr>
          <w:rFonts w:ascii="Arial" w:hAnsi="Arial" w:cs="Arial"/>
          <w:color w:val="222222"/>
          <w:sz w:val="20"/>
          <w:szCs w:val="20"/>
          <w:shd w:val="clear" w:color="auto" w:fill="FFFFFF"/>
        </w:rPr>
        <w:t>Ariss</w:t>
      </w:r>
      <w:proofErr w:type="spellEnd"/>
      <w:r>
        <w:rPr>
          <w:rFonts w:ascii="Arial" w:hAnsi="Arial" w:cs="Arial"/>
          <w:color w:val="222222"/>
          <w:sz w:val="20"/>
          <w:szCs w:val="20"/>
          <w:shd w:val="clear" w:color="auto" w:fill="FFFFFF"/>
        </w:rPr>
        <w:t>, R. (2009).</w:t>
      </w:r>
      <w:proofErr w:type="gramEnd"/>
      <w:r>
        <w:rPr>
          <w:rFonts w:ascii="Arial" w:hAnsi="Arial" w:cs="Arial"/>
          <w:color w:val="222222"/>
          <w:sz w:val="20"/>
          <w:szCs w:val="20"/>
          <w:shd w:val="clear" w:color="auto" w:fill="FFFFFF"/>
        </w:rPr>
        <w:t xml:space="preserve"> </w:t>
      </w:r>
      <w:proofErr w:type="gramStart"/>
      <w:r>
        <w:rPr>
          <w:rFonts w:ascii="Arial" w:hAnsi="Arial" w:cs="Arial"/>
          <w:color w:val="222222"/>
          <w:sz w:val="20"/>
          <w:szCs w:val="20"/>
          <w:shd w:val="clear" w:color="auto" w:fill="FFFFFF"/>
        </w:rPr>
        <w:t>Bank competition and financial stability.</w:t>
      </w:r>
      <w:proofErr w:type="gramEnd"/>
      <w:r>
        <w:rPr>
          <w:rFonts w:ascii="Arial" w:hAnsi="Arial" w:cs="Arial"/>
          <w:color w:val="222222"/>
          <w:sz w:val="20"/>
          <w:szCs w:val="20"/>
          <w:shd w:val="clear" w:color="auto" w:fill="FFFFFF"/>
        </w:rPr>
        <w:t> </w:t>
      </w:r>
      <w:proofErr w:type="gramStart"/>
      <w:r>
        <w:rPr>
          <w:rFonts w:ascii="Arial" w:hAnsi="Arial" w:cs="Arial"/>
          <w:i/>
          <w:iCs/>
          <w:color w:val="222222"/>
          <w:sz w:val="20"/>
          <w:szCs w:val="20"/>
          <w:shd w:val="clear" w:color="auto" w:fill="FFFFFF"/>
        </w:rPr>
        <w:t>Journal of Financial Services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(2), pp.99-118.</w:t>
      </w:r>
      <w:proofErr w:type="gramEnd"/>
    </w:p>
    <w:p w:rsidR="00A6160A" w:rsidRDefault="00A6160A" w:rsidP="00A6160A">
      <w:pPr>
        <w:rPr>
          <w:rFonts w:ascii="Arial" w:hAnsi="Arial" w:cs="Arial"/>
          <w:color w:val="222222"/>
          <w:sz w:val="20"/>
          <w:szCs w:val="20"/>
          <w:shd w:val="clear" w:color="auto" w:fill="FFFFFF"/>
        </w:rPr>
      </w:pPr>
      <w:proofErr w:type="gramStart"/>
      <w:r w:rsidRPr="00D24EA9">
        <w:rPr>
          <w:rFonts w:ascii="Arial" w:hAnsi="Arial" w:cs="Arial"/>
          <w:color w:val="222222"/>
          <w:sz w:val="20"/>
          <w:szCs w:val="20"/>
          <w:shd w:val="clear" w:color="auto" w:fill="FFFFFF"/>
        </w:rPr>
        <w:t xml:space="preserve">Berger, A.N. and </w:t>
      </w:r>
      <w:proofErr w:type="spellStart"/>
      <w:r w:rsidRPr="00D24EA9">
        <w:rPr>
          <w:rFonts w:ascii="Arial" w:hAnsi="Arial" w:cs="Arial"/>
          <w:color w:val="222222"/>
          <w:sz w:val="20"/>
          <w:szCs w:val="20"/>
          <w:shd w:val="clear" w:color="auto" w:fill="FFFFFF"/>
        </w:rPr>
        <w:t>Bouwman</w:t>
      </w:r>
      <w:proofErr w:type="spellEnd"/>
      <w:r w:rsidRPr="00D24EA9">
        <w:rPr>
          <w:rFonts w:ascii="Arial" w:hAnsi="Arial" w:cs="Arial"/>
          <w:color w:val="222222"/>
          <w:sz w:val="20"/>
          <w:szCs w:val="20"/>
          <w:shd w:val="clear" w:color="auto" w:fill="FFFFFF"/>
        </w:rPr>
        <w:t xml:space="preserve">, C.H. </w:t>
      </w:r>
      <w:r>
        <w:rPr>
          <w:rFonts w:ascii="Arial" w:hAnsi="Arial" w:cs="Arial"/>
          <w:color w:val="222222"/>
          <w:sz w:val="20"/>
          <w:szCs w:val="20"/>
          <w:shd w:val="clear" w:color="auto" w:fill="FFFFFF"/>
        </w:rPr>
        <w:t>(</w:t>
      </w:r>
      <w:r w:rsidRPr="00D24EA9">
        <w:rPr>
          <w:rFonts w:ascii="Arial" w:hAnsi="Arial" w:cs="Arial"/>
          <w:color w:val="222222"/>
          <w:sz w:val="20"/>
          <w:szCs w:val="20"/>
          <w:shd w:val="clear" w:color="auto" w:fill="FFFFFF"/>
        </w:rPr>
        <w:t>2009</w:t>
      </w:r>
      <w:r>
        <w:rPr>
          <w:rFonts w:ascii="Arial" w:hAnsi="Arial" w:cs="Arial"/>
          <w:color w:val="222222"/>
          <w:sz w:val="20"/>
          <w:szCs w:val="20"/>
          <w:shd w:val="clear" w:color="auto" w:fill="FFFFFF"/>
        </w:rPr>
        <w:t>)</w:t>
      </w:r>
      <w:r w:rsidRPr="00D24EA9">
        <w:rPr>
          <w:rFonts w:ascii="Arial" w:hAnsi="Arial" w:cs="Arial"/>
          <w:color w:val="222222"/>
          <w:sz w:val="20"/>
          <w:szCs w:val="20"/>
          <w:shd w:val="clear" w:color="auto" w:fill="FFFFFF"/>
        </w:rPr>
        <w:t>.</w:t>
      </w:r>
      <w:proofErr w:type="gramEnd"/>
      <w:r w:rsidRPr="00D24EA9">
        <w:rPr>
          <w:rFonts w:ascii="Arial" w:hAnsi="Arial" w:cs="Arial"/>
          <w:color w:val="222222"/>
          <w:sz w:val="20"/>
          <w:szCs w:val="20"/>
          <w:shd w:val="clear" w:color="auto" w:fill="FFFFFF"/>
        </w:rPr>
        <w:t xml:space="preserve"> </w:t>
      </w:r>
      <w:proofErr w:type="gramStart"/>
      <w:r w:rsidRPr="00D24EA9">
        <w:rPr>
          <w:rFonts w:ascii="Arial" w:hAnsi="Arial" w:cs="Arial"/>
          <w:color w:val="222222"/>
          <w:sz w:val="20"/>
          <w:szCs w:val="20"/>
          <w:shd w:val="clear" w:color="auto" w:fill="FFFFFF"/>
        </w:rPr>
        <w:t>Bank liquidity creation.</w:t>
      </w:r>
      <w:proofErr w:type="gramEnd"/>
      <w:r w:rsidRPr="00D24EA9">
        <w:rPr>
          <w:rFonts w:ascii="Arial" w:hAnsi="Arial" w:cs="Arial"/>
          <w:color w:val="222222"/>
          <w:sz w:val="20"/>
          <w:szCs w:val="20"/>
          <w:shd w:val="clear" w:color="auto" w:fill="FFFFFF"/>
        </w:rPr>
        <w:t> </w:t>
      </w:r>
      <w:proofErr w:type="gramStart"/>
      <w:r w:rsidRPr="00D24EA9">
        <w:rPr>
          <w:rFonts w:ascii="Arial" w:hAnsi="Arial" w:cs="Arial"/>
          <w:i/>
          <w:iCs/>
          <w:color w:val="222222"/>
          <w:sz w:val="20"/>
          <w:szCs w:val="20"/>
          <w:shd w:val="clear" w:color="auto" w:fill="FFFFFF"/>
        </w:rPr>
        <w:t>Review of Financial Studies</w:t>
      </w:r>
      <w:r w:rsidRPr="00D24EA9">
        <w:rPr>
          <w:rFonts w:ascii="Arial" w:hAnsi="Arial" w:cs="Arial"/>
          <w:color w:val="222222"/>
          <w:sz w:val="20"/>
          <w:szCs w:val="20"/>
          <w:shd w:val="clear" w:color="auto" w:fill="FFFFFF"/>
        </w:rPr>
        <w:t>, </w:t>
      </w:r>
      <w:r w:rsidRPr="00D24EA9">
        <w:rPr>
          <w:rFonts w:ascii="Arial" w:hAnsi="Arial" w:cs="Arial"/>
          <w:i/>
          <w:iCs/>
          <w:color w:val="222222"/>
          <w:sz w:val="20"/>
          <w:szCs w:val="20"/>
          <w:shd w:val="clear" w:color="auto" w:fill="FFFFFF"/>
        </w:rPr>
        <w:t>22</w:t>
      </w:r>
      <w:r w:rsidRPr="00D24EA9">
        <w:rPr>
          <w:rFonts w:ascii="Arial" w:hAnsi="Arial" w:cs="Arial"/>
          <w:color w:val="222222"/>
          <w:sz w:val="20"/>
          <w:szCs w:val="20"/>
          <w:shd w:val="clear" w:color="auto" w:fill="FFFFFF"/>
        </w:rPr>
        <w:t>(9), pp.3779-3837.</w:t>
      </w:r>
      <w:proofErr w:type="gramEnd"/>
    </w:p>
    <w:p w:rsidR="00A6160A" w:rsidRDefault="00A6160A" w:rsidP="00A6160A">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Boone, J. (2008). </w:t>
      </w:r>
      <w:proofErr w:type="gramStart"/>
      <w:r>
        <w:rPr>
          <w:rFonts w:ascii="Arial" w:hAnsi="Arial" w:cs="Arial"/>
          <w:color w:val="222222"/>
          <w:sz w:val="20"/>
          <w:szCs w:val="20"/>
          <w:shd w:val="clear" w:color="auto" w:fill="FFFFFF"/>
        </w:rPr>
        <w:t>A new way to measure competition.</w:t>
      </w:r>
      <w:proofErr w:type="gramEnd"/>
      <w:r>
        <w:rPr>
          <w:rFonts w:ascii="Arial" w:hAnsi="Arial" w:cs="Arial"/>
          <w:color w:val="222222"/>
          <w:sz w:val="20"/>
          <w:szCs w:val="20"/>
          <w:shd w:val="clear" w:color="auto" w:fill="FFFFFF"/>
        </w:rPr>
        <w:t> </w:t>
      </w:r>
      <w:proofErr w:type="gramStart"/>
      <w:r>
        <w:rPr>
          <w:rFonts w:ascii="Arial" w:hAnsi="Arial" w:cs="Arial"/>
          <w:i/>
          <w:iCs/>
          <w:color w:val="222222"/>
          <w:sz w:val="20"/>
          <w:szCs w:val="20"/>
          <w:shd w:val="clear" w:color="auto" w:fill="FFFFFF"/>
        </w:rPr>
        <w:t>The Economic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118</w:t>
      </w:r>
      <w:r>
        <w:rPr>
          <w:rFonts w:ascii="Arial" w:hAnsi="Arial" w:cs="Arial"/>
          <w:color w:val="222222"/>
          <w:sz w:val="20"/>
          <w:szCs w:val="20"/>
          <w:shd w:val="clear" w:color="auto" w:fill="FFFFFF"/>
        </w:rPr>
        <w:t>(531), pp.1245-61.</w:t>
      </w:r>
      <w:proofErr w:type="gramEnd"/>
    </w:p>
    <w:p w:rsidR="00A6160A" w:rsidRDefault="00A6160A" w:rsidP="00A6160A">
      <w:pPr>
        <w:rPr>
          <w:rFonts w:ascii="Arial" w:hAnsi="Arial" w:cs="Arial"/>
          <w:color w:val="222222"/>
          <w:sz w:val="20"/>
          <w:szCs w:val="20"/>
          <w:shd w:val="clear" w:color="auto" w:fill="FFFFFF"/>
        </w:rPr>
      </w:pPr>
      <w:proofErr w:type="gramStart"/>
      <w:r>
        <w:rPr>
          <w:rFonts w:ascii="Arial" w:hAnsi="Arial" w:cs="Arial"/>
          <w:color w:val="222222"/>
          <w:sz w:val="20"/>
          <w:szCs w:val="20"/>
          <w:shd w:val="clear" w:color="auto" w:fill="FFFFFF"/>
        </w:rPr>
        <w:t>Boone, J., Griffith, R. and Harrison, R. (2005).</w:t>
      </w:r>
      <w:proofErr w:type="gramEnd"/>
      <w:r>
        <w:rPr>
          <w:rFonts w:ascii="Arial" w:hAnsi="Arial" w:cs="Arial"/>
          <w:color w:val="222222"/>
          <w:sz w:val="20"/>
          <w:szCs w:val="20"/>
          <w:shd w:val="clear" w:color="auto" w:fill="FFFFFF"/>
        </w:rPr>
        <w:t xml:space="preserve"> </w:t>
      </w:r>
      <w:proofErr w:type="gramStart"/>
      <w:r>
        <w:rPr>
          <w:rFonts w:ascii="Arial" w:hAnsi="Arial" w:cs="Arial"/>
          <w:color w:val="222222"/>
          <w:sz w:val="20"/>
          <w:szCs w:val="20"/>
          <w:shd w:val="clear" w:color="auto" w:fill="FFFFFF"/>
        </w:rPr>
        <w:t>Measuring Competition.</w:t>
      </w:r>
      <w:proofErr w:type="gramEnd"/>
      <w:r>
        <w:rPr>
          <w:rFonts w:ascii="Arial" w:hAnsi="Arial" w:cs="Arial"/>
          <w:color w:val="222222"/>
          <w:sz w:val="20"/>
          <w:szCs w:val="20"/>
          <w:shd w:val="clear" w:color="auto" w:fill="FFFFFF"/>
        </w:rPr>
        <w:t xml:space="preserve"> AIM Research Working Paper Series.</w:t>
      </w:r>
    </w:p>
    <w:p w:rsidR="00A6160A" w:rsidRDefault="00A6160A" w:rsidP="00A6160A">
      <w:pPr>
        <w:rPr>
          <w:rFonts w:eastAsia="Times New Roman"/>
        </w:rPr>
      </w:pPr>
      <w:r w:rsidRPr="00CF1110">
        <w:rPr>
          <w:rFonts w:eastAsia="Times New Roman"/>
          <w:lang w:val="pt-PT"/>
        </w:rPr>
        <w:t xml:space="preserve">Carbo, S., Humphrey, D., Maudos, J., Molyneux, P. (2009). </w:t>
      </w:r>
      <w:proofErr w:type="gramStart"/>
      <w:r>
        <w:rPr>
          <w:rFonts w:eastAsia="Times New Roman"/>
        </w:rPr>
        <w:t>Cross-country comparisons of competition and pricing power in European banking.</w:t>
      </w:r>
      <w:proofErr w:type="gramEnd"/>
      <w:r>
        <w:rPr>
          <w:rFonts w:eastAsia="Times New Roman"/>
        </w:rPr>
        <w:t xml:space="preserve"> J. Int. Money Finance. </w:t>
      </w:r>
      <w:proofErr w:type="gramStart"/>
      <w:r>
        <w:rPr>
          <w:rFonts w:eastAsia="Times New Roman"/>
        </w:rPr>
        <w:t xml:space="preserve">28, </w:t>
      </w:r>
      <w:r w:rsidR="006A6B31">
        <w:rPr>
          <w:rFonts w:eastAsia="Times New Roman"/>
        </w:rPr>
        <w:t>pp.</w:t>
      </w:r>
      <w:r>
        <w:rPr>
          <w:rFonts w:eastAsia="Times New Roman"/>
        </w:rPr>
        <w:t>115–34.</w:t>
      </w:r>
      <w:proofErr w:type="gramEnd"/>
    </w:p>
    <w:p w:rsidR="00A6160A" w:rsidRDefault="00A6160A" w:rsidP="00A6160A">
      <w:pPr>
        <w:rPr>
          <w:rFonts w:ascii="Arial" w:eastAsia="Times New Roman" w:hAnsi="Arial" w:cs="Arial"/>
          <w:color w:val="222222"/>
          <w:sz w:val="20"/>
          <w:szCs w:val="20"/>
          <w:shd w:val="clear" w:color="auto" w:fill="FFFFFF"/>
        </w:rPr>
      </w:pPr>
      <w:proofErr w:type="spellStart"/>
      <w:r>
        <w:rPr>
          <w:rFonts w:ascii="Arial" w:eastAsia="Times New Roman" w:hAnsi="Arial" w:cs="Arial"/>
          <w:color w:val="222222"/>
          <w:sz w:val="20"/>
          <w:szCs w:val="20"/>
          <w:shd w:val="clear" w:color="auto" w:fill="FFFFFF"/>
        </w:rPr>
        <w:t>Claessens</w:t>
      </w:r>
      <w:proofErr w:type="spellEnd"/>
      <w:r>
        <w:rPr>
          <w:rFonts w:ascii="Arial" w:eastAsia="Times New Roman" w:hAnsi="Arial" w:cs="Arial"/>
          <w:color w:val="222222"/>
          <w:sz w:val="20"/>
          <w:szCs w:val="20"/>
          <w:shd w:val="clear" w:color="auto" w:fill="FFFFFF"/>
        </w:rPr>
        <w:t xml:space="preserve">, S. and </w:t>
      </w:r>
      <w:proofErr w:type="spellStart"/>
      <w:r>
        <w:rPr>
          <w:rFonts w:ascii="Arial" w:eastAsia="Times New Roman" w:hAnsi="Arial" w:cs="Arial"/>
          <w:color w:val="222222"/>
          <w:sz w:val="20"/>
          <w:szCs w:val="20"/>
          <w:shd w:val="clear" w:color="auto" w:fill="FFFFFF"/>
        </w:rPr>
        <w:t>Laeven</w:t>
      </w:r>
      <w:proofErr w:type="spellEnd"/>
      <w:r>
        <w:rPr>
          <w:rFonts w:ascii="Arial" w:eastAsia="Times New Roman" w:hAnsi="Arial" w:cs="Arial"/>
          <w:color w:val="222222"/>
          <w:sz w:val="20"/>
          <w:szCs w:val="20"/>
          <w:shd w:val="clear" w:color="auto" w:fill="FFFFFF"/>
        </w:rPr>
        <w:t xml:space="preserve">, L. (2004). What drives bank competition? </w:t>
      </w:r>
      <w:proofErr w:type="gramStart"/>
      <w:r>
        <w:rPr>
          <w:rFonts w:ascii="Arial" w:eastAsia="Times New Roman" w:hAnsi="Arial" w:cs="Arial"/>
          <w:color w:val="222222"/>
          <w:sz w:val="20"/>
          <w:szCs w:val="20"/>
          <w:shd w:val="clear" w:color="auto" w:fill="FFFFFF"/>
        </w:rPr>
        <w:t>Some international evidence.</w:t>
      </w:r>
      <w:proofErr w:type="gramEnd"/>
      <w:r>
        <w:rPr>
          <w:rStyle w:val="apple-converted-space"/>
          <w:rFonts w:ascii="Arial" w:eastAsia="Times New Roman" w:hAnsi="Arial" w:cs="Arial"/>
          <w:color w:val="222222"/>
          <w:sz w:val="20"/>
          <w:szCs w:val="20"/>
          <w:shd w:val="clear" w:color="auto" w:fill="FFFFFF"/>
        </w:rPr>
        <w:t> </w:t>
      </w:r>
      <w:proofErr w:type="gramStart"/>
      <w:r>
        <w:rPr>
          <w:rFonts w:ascii="Arial" w:eastAsia="Times New Roman" w:hAnsi="Arial" w:cs="Arial"/>
          <w:i/>
          <w:iCs/>
          <w:color w:val="222222"/>
          <w:sz w:val="20"/>
          <w:szCs w:val="20"/>
          <w:shd w:val="clear" w:color="auto" w:fill="FFFFFF"/>
        </w:rPr>
        <w:t>Journal of Money, credit, and Banking</w:t>
      </w:r>
      <w:r>
        <w:rPr>
          <w:rFonts w:ascii="Arial" w:eastAsia="Times New Roman" w:hAnsi="Arial" w:cs="Arial"/>
          <w:color w:val="222222"/>
          <w:sz w:val="20"/>
          <w:szCs w:val="20"/>
          <w:shd w:val="clear" w:color="auto" w:fill="FFFFFF"/>
        </w:rPr>
        <w:t>,</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shd w:val="clear" w:color="auto" w:fill="FFFFFF"/>
        </w:rPr>
        <w:t>36</w:t>
      </w:r>
      <w:r>
        <w:rPr>
          <w:rFonts w:ascii="Arial" w:eastAsia="Times New Roman" w:hAnsi="Arial" w:cs="Arial"/>
          <w:color w:val="222222"/>
          <w:sz w:val="20"/>
          <w:szCs w:val="20"/>
          <w:shd w:val="clear" w:color="auto" w:fill="FFFFFF"/>
        </w:rPr>
        <w:t>(3), pp.563-83.</w:t>
      </w:r>
      <w:proofErr w:type="gramEnd"/>
    </w:p>
    <w:p w:rsidR="00A6160A" w:rsidRDefault="00A6160A" w:rsidP="00A6160A">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Clerides</w:t>
      </w:r>
      <w:proofErr w:type="spellEnd"/>
      <w:r>
        <w:rPr>
          <w:rFonts w:ascii="Arial" w:hAnsi="Arial" w:cs="Arial"/>
          <w:color w:val="222222"/>
          <w:sz w:val="20"/>
          <w:szCs w:val="20"/>
          <w:shd w:val="clear" w:color="auto" w:fill="FFFFFF"/>
        </w:rPr>
        <w:t xml:space="preserve">, S., Delis, M.D. and </w:t>
      </w:r>
      <w:proofErr w:type="spellStart"/>
      <w:r>
        <w:rPr>
          <w:rFonts w:ascii="Arial" w:hAnsi="Arial" w:cs="Arial"/>
          <w:color w:val="222222"/>
          <w:sz w:val="20"/>
          <w:szCs w:val="20"/>
          <w:shd w:val="clear" w:color="auto" w:fill="FFFFFF"/>
        </w:rPr>
        <w:t>Kokas</w:t>
      </w:r>
      <w:proofErr w:type="spellEnd"/>
      <w:r>
        <w:rPr>
          <w:rFonts w:ascii="Arial" w:hAnsi="Arial" w:cs="Arial"/>
          <w:color w:val="222222"/>
          <w:sz w:val="20"/>
          <w:szCs w:val="20"/>
          <w:shd w:val="clear" w:color="auto" w:fill="FFFFFF"/>
        </w:rPr>
        <w:t>, S. (2013). </w:t>
      </w:r>
      <w:r>
        <w:rPr>
          <w:rFonts w:ascii="Arial" w:hAnsi="Arial" w:cs="Arial"/>
          <w:i/>
          <w:iCs/>
          <w:color w:val="222222"/>
          <w:sz w:val="20"/>
          <w:szCs w:val="20"/>
          <w:shd w:val="clear" w:color="auto" w:fill="FFFFFF"/>
        </w:rPr>
        <w:t>A new data set on bank competition</w:t>
      </w:r>
      <w:r>
        <w:rPr>
          <w:rFonts w:ascii="Arial" w:hAnsi="Arial" w:cs="Arial"/>
          <w:color w:val="222222"/>
          <w:sz w:val="20"/>
          <w:szCs w:val="20"/>
          <w:shd w:val="clear" w:color="auto" w:fill="FFFFFF"/>
        </w:rPr>
        <w:t xml:space="preserve"> (No. 08-2013). </w:t>
      </w:r>
      <w:proofErr w:type="gramStart"/>
      <w:r>
        <w:rPr>
          <w:rFonts w:ascii="Arial" w:hAnsi="Arial" w:cs="Arial"/>
          <w:color w:val="222222"/>
          <w:sz w:val="20"/>
          <w:szCs w:val="20"/>
          <w:shd w:val="clear" w:color="auto" w:fill="FFFFFF"/>
        </w:rPr>
        <w:t>University of Cyprus Working Papers in Economics, pp.1-21.</w:t>
      </w:r>
      <w:proofErr w:type="gramEnd"/>
      <w:r>
        <w:rPr>
          <w:rFonts w:ascii="Arial" w:hAnsi="Arial" w:cs="Arial"/>
          <w:color w:val="222222"/>
          <w:sz w:val="20"/>
          <w:szCs w:val="20"/>
          <w:shd w:val="clear" w:color="auto" w:fill="FFFFFF"/>
        </w:rPr>
        <w:t xml:space="preserve"> </w:t>
      </w:r>
    </w:p>
    <w:p w:rsidR="00A6160A" w:rsidRDefault="00A6160A" w:rsidP="00A6160A">
      <w:pPr>
        <w:rPr>
          <w:rFonts w:ascii="Arial" w:hAnsi="Arial" w:cs="Arial"/>
          <w:color w:val="222222"/>
          <w:sz w:val="20"/>
          <w:szCs w:val="20"/>
          <w:shd w:val="clear" w:color="auto" w:fill="FFFFFF"/>
        </w:rPr>
      </w:pPr>
      <w:proofErr w:type="gramStart"/>
      <w:r w:rsidRPr="006029D1">
        <w:rPr>
          <w:rFonts w:ascii="Arial" w:hAnsi="Arial" w:cs="Arial"/>
          <w:color w:val="222222"/>
          <w:sz w:val="20"/>
          <w:szCs w:val="20"/>
          <w:shd w:val="clear" w:color="auto" w:fill="FFFFFF"/>
        </w:rPr>
        <w:t xml:space="preserve">Fernandez de Guevara, J., </w:t>
      </w:r>
      <w:proofErr w:type="spellStart"/>
      <w:r w:rsidRPr="006029D1">
        <w:rPr>
          <w:rFonts w:ascii="Arial" w:hAnsi="Arial" w:cs="Arial"/>
          <w:color w:val="222222"/>
          <w:sz w:val="20"/>
          <w:szCs w:val="20"/>
          <w:shd w:val="clear" w:color="auto" w:fill="FFFFFF"/>
        </w:rPr>
        <w:t>Maudos</w:t>
      </w:r>
      <w:proofErr w:type="spellEnd"/>
      <w:r w:rsidRPr="006029D1">
        <w:rPr>
          <w:rFonts w:ascii="Arial" w:hAnsi="Arial" w:cs="Arial"/>
          <w:color w:val="222222"/>
          <w:sz w:val="20"/>
          <w:szCs w:val="20"/>
          <w:shd w:val="clear" w:color="auto" w:fill="FFFFFF"/>
        </w:rPr>
        <w:t>, J. and Perez, F. (2005).</w:t>
      </w:r>
      <w:proofErr w:type="gramEnd"/>
      <w:r w:rsidRPr="006029D1">
        <w:rPr>
          <w:rFonts w:ascii="Arial" w:hAnsi="Arial" w:cs="Arial"/>
          <w:color w:val="222222"/>
          <w:sz w:val="20"/>
          <w:szCs w:val="20"/>
          <w:shd w:val="clear" w:color="auto" w:fill="FFFFFF"/>
        </w:rPr>
        <w:t xml:space="preserve"> </w:t>
      </w:r>
      <w:proofErr w:type="gramStart"/>
      <w:r>
        <w:rPr>
          <w:rFonts w:ascii="Arial" w:hAnsi="Arial" w:cs="Arial"/>
          <w:color w:val="222222"/>
          <w:sz w:val="20"/>
          <w:szCs w:val="20"/>
          <w:shd w:val="clear" w:color="auto" w:fill="FFFFFF"/>
        </w:rPr>
        <w:t>Market power in European banking sectors.</w:t>
      </w:r>
      <w:proofErr w:type="gramEnd"/>
      <w:r>
        <w:rPr>
          <w:rFonts w:ascii="Arial" w:hAnsi="Arial" w:cs="Arial"/>
          <w:color w:val="222222"/>
          <w:sz w:val="20"/>
          <w:szCs w:val="20"/>
          <w:shd w:val="clear" w:color="auto" w:fill="FFFFFF"/>
        </w:rPr>
        <w:t> </w:t>
      </w:r>
      <w:proofErr w:type="gramStart"/>
      <w:r>
        <w:rPr>
          <w:rFonts w:ascii="Arial" w:hAnsi="Arial" w:cs="Arial"/>
          <w:i/>
          <w:iCs/>
          <w:color w:val="222222"/>
          <w:sz w:val="20"/>
          <w:szCs w:val="20"/>
          <w:shd w:val="clear" w:color="auto" w:fill="FFFFFF"/>
        </w:rPr>
        <w:t>Journal of Financial Services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(2), pp.109-37.</w:t>
      </w:r>
      <w:proofErr w:type="gramEnd"/>
    </w:p>
    <w:p w:rsidR="00A6160A" w:rsidRDefault="00A6160A" w:rsidP="00A6160A">
      <w:pPr>
        <w:rPr>
          <w:u w:val="single"/>
        </w:rPr>
      </w:pPr>
    </w:p>
    <w:p w:rsidR="00A6160A" w:rsidRDefault="00A6160A" w:rsidP="00A6160A">
      <w:pPr>
        <w:rPr>
          <w:rFonts w:ascii="Arial" w:hAnsi="Arial" w:cs="Arial"/>
          <w:color w:val="222222"/>
          <w:sz w:val="20"/>
          <w:szCs w:val="20"/>
          <w:shd w:val="clear" w:color="auto" w:fill="FFFFFF"/>
          <w:lang w:val="nl-NL"/>
        </w:rPr>
      </w:pPr>
      <w:proofErr w:type="gramStart"/>
      <w:r>
        <w:rPr>
          <w:rFonts w:ascii="Arial" w:hAnsi="Arial" w:cs="Arial"/>
          <w:color w:val="222222"/>
          <w:sz w:val="20"/>
          <w:szCs w:val="20"/>
          <w:shd w:val="clear" w:color="auto" w:fill="FFFFFF"/>
        </w:rPr>
        <w:t xml:space="preserve">Horvath, R., </w:t>
      </w:r>
      <w:proofErr w:type="spellStart"/>
      <w:r>
        <w:rPr>
          <w:rFonts w:ascii="Arial" w:hAnsi="Arial" w:cs="Arial"/>
          <w:color w:val="222222"/>
          <w:sz w:val="20"/>
          <w:szCs w:val="20"/>
          <w:shd w:val="clear" w:color="auto" w:fill="FFFFFF"/>
        </w:rPr>
        <w:t>Seidler</w:t>
      </w:r>
      <w:proofErr w:type="spellEnd"/>
      <w:r>
        <w:rPr>
          <w:rFonts w:ascii="Arial" w:hAnsi="Arial" w:cs="Arial"/>
          <w:color w:val="222222"/>
          <w:sz w:val="20"/>
          <w:szCs w:val="20"/>
          <w:shd w:val="clear" w:color="auto" w:fill="FFFFFF"/>
        </w:rPr>
        <w:t>, J. and Weill, L. (2016).</w:t>
      </w:r>
      <w:proofErr w:type="gramEnd"/>
      <w:r>
        <w:rPr>
          <w:rFonts w:ascii="Arial" w:hAnsi="Arial" w:cs="Arial"/>
          <w:color w:val="222222"/>
          <w:sz w:val="20"/>
          <w:szCs w:val="20"/>
          <w:shd w:val="clear" w:color="auto" w:fill="FFFFFF"/>
        </w:rPr>
        <w:t xml:space="preserve"> How bank competition influences liquidity creation.</w:t>
      </w:r>
      <w:r>
        <w:rPr>
          <w:rStyle w:val="apple-converted-space"/>
          <w:rFonts w:ascii="Arial" w:hAnsi="Arial" w:cs="Arial"/>
          <w:color w:val="222222"/>
          <w:sz w:val="20"/>
          <w:szCs w:val="20"/>
          <w:shd w:val="clear" w:color="auto" w:fill="FFFFFF"/>
        </w:rPr>
        <w:t> </w:t>
      </w:r>
      <w:r w:rsidRPr="006202C4">
        <w:rPr>
          <w:rFonts w:ascii="Arial" w:hAnsi="Arial" w:cs="Arial"/>
          <w:i/>
          <w:iCs/>
          <w:color w:val="222222"/>
          <w:sz w:val="20"/>
          <w:szCs w:val="20"/>
          <w:shd w:val="clear" w:color="auto" w:fill="FFFFFF"/>
          <w:lang w:val="nl-NL"/>
        </w:rPr>
        <w:t>Economic Modelling</w:t>
      </w:r>
      <w:r w:rsidRPr="006202C4">
        <w:rPr>
          <w:rFonts w:ascii="Arial" w:hAnsi="Arial" w:cs="Arial"/>
          <w:color w:val="222222"/>
          <w:sz w:val="20"/>
          <w:szCs w:val="20"/>
          <w:shd w:val="clear" w:color="auto" w:fill="FFFFFF"/>
          <w:lang w:val="nl-NL"/>
        </w:rPr>
        <w:t>,</w:t>
      </w:r>
      <w:r w:rsidRPr="006202C4">
        <w:rPr>
          <w:rStyle w:val="apple-converted-space"/>
          <w:rFonts w:ascii="Arial" w:hAnsi="Arial" w:cs="Arial"/>
          <w:color w:val="222222"/>
          <w:sz w:val="20"/>
          <w:szCs w:val="20"/>
          <w:shd w:val="clear" w:color="auto" w:fill="FFFFFF"/>
          <w:lang w:val="nl-NL"/>
        </w:rPr>
        <w:t> </w:t>
      </w:r>
      <w:r w:rsidRPr="006202C4">
        <w:rPr>
          <w:rFonts w:ascii="Arial" w:hAnsi="Arial" w:cs="Arial"/>
          <w:i/>
          <w:iCs/>
          <w:color w:val="222222"/>
          <w:sz w:val="20"/>
          <w:szCs w:val="20"/>
          <w:shd w:val="clear" w:color="auto" w:fill="FFFFFF"/>
          <w:lang w:val="nl-NL"/>
        </w:rPr>
        <w:t>52</w:t>
      </w:r>
      <w:r w:rsidRPr="006202C4">
        <w:rPr>
          <w:rFonts w:ascii="Arial" w:hAnsi="Arial" w:cs="Arial"/>
          <w:color w:val="222222"/>
          <w:sz w:val="20"/>
          <w:szCs w:val="20"/>
          <w:shd w:val="clear" w:color="auto" w:fill="FFFFFF"/>
          <w:lang w:val="nl-NL"/>
        </w:rPr>
        <w:t>, pp.155-61.</w:t>
      </w:r>
    </w:p>
    <w:p w:rsidR="00611EE7" w:rsidRDefault="00611EE7" w:rsidP="00611EE7">
      <w:pPr>
        <w:rPr>
          <w:rFonts w:ascii="Times New Roman" w:hAnsi="Times New Roman" w:cs="Times New Roman"/>
          <w:sz w:val="24"/>
          <w:szCs w:val="24"/>
        </w:rPr>
      </w:pPr>
      <w:r>
        <w:rPr>
          <w:rFonts w:ascii="Arial" w:hAnsi="Arial" w:cs="Arial"/>
          <w:color w:val="222222"/>
          <w:sz w:val="20"/>
          <w:szCs w:val="20"/>
          <w:shd w:val="clear" w:color="auto" w:fill="FFFFFF"/>
        </w:rPr>
        <w:t>Jiang, L., Levine, R. and Lin, C</w:t>
      </w:r>
      <w:proofErr w:type="gramStart"/>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2016). </w:t>
      </w:r>
      <w:proofErr w:type="gramStart"/>
      <w:r>
        <w:rPr>
          <w:rFonts w:ascii="Arial" w:hAnsi="Arial" w:cs="Arial"/>
          <w:i/>
          <w:iCs/>
          <w:color w:val="222222"/>
          <w:sz w:val="20"/>
          <w:szCs w:val="20"/>
          <w:shd w:val="clear" w:color="auto" w:fill="FFFFFF"/>
        </w:rPr>
        <w:t>Competition and bank liquidity creation</w:t>
      </w:r>
      <w:r>
        <w:rPr>
          <w:rFonts w:ascii="Arial" w:hAnsi="Arial" w:cs="Arial"/>
          <w:color w:val="222222"/>
          <w:sz w:val="20"/>
          <w:szCs w:val="20"/>
          <w:shd w:val="clear" w:color="auto" w:fill="FFFFFF"/>
        </w:rPr>
        <w:t> (No. w22195).</w:t>
      </w:r>
      <w:proofErr w:type="gramEnd"/>
      <w:r>
        <w:rPr>
          <w:rFonts w:ascii="Arial" w:hAnsi="Arial" w:cs="Arial"/>
          <w:color w:val="222222"/>
          <w:sz w:val="20"/>
          <w:szCs w:val="20"/>
          <w:shd w:val="clear" w:color="auto" w:fill="FFFFFF"/>
        </w:rPr>
        <w:t xml:space="preserve"> </w:t>
      </w:r>
      <w:proofErr w:type="gramStart"/>
      <w:r>
        <w:rPr>
          <w:rFonts w:ascii="Arial" w:hAnsi="Arial" w:cs="Arial"/>
          <w:color w:val="222222"/>
          <w:sz w:val="20"/>
          <w:szCs w:val="20"/>
          <w:shd w:val="clear" w:color="auto" w:fill="FFFFFF"/>
        </w:rPr>
        <w:t>National Bureau of Economic Research, pp.1-19.</w:t>
      </w:r>
      <w:proofErr w:type="gramEnd"/>
    </w:p>
    <w:p w:rsidR="00611EE7" w:rsidRPr="00611EE7" w:rsidRDefault="00611EE7" w:rsidP="00A6160A">
      <w:pPr>
        <w:rPr>
          <w:rFonts w:ascii="Arial" w:hAnsi="Arial" w:cs="Arial"/>
          <w:color w:val="222222"/>
          <w:sz w:val="20"/>
          <w:szCs w:val="20"/>
          <w:shd w:val="clear" w:color="auto" w:fill="FFFFFF"/>
        </w:rPr>
      </w:pPr>
    </w:p>
    <w:p w:rsidR="00A6160A" w:rsidRDefault="00A6160A" w:rsidP="00A6160A">
      <w:pPr>
        <w:rPr>
          <w:rFonts w:ascii="Arial" w:hAnsi="Arial" w:cs="Arial"/>
          <w:color w:val="222222"/>
          <w:sz w:val="20"/>
          <w:szCs w:val="20"/>
          <w:shd w:val="clear" w:color="auto" w:fill="FFFFFF"/>
        </w:rPr>
      </w:pPr>
      <w:proofErr w:type="spellStart"/>
      <w:proofErr w:type="gramStart"/>
      <w:r w:rsidRPr="00611EE7">
        <w:rPr>
          <w:rFonts w:ascii="Arial" w:hAnsi="Arial" w:cs="Arial"/>
          <w:color w:val="222222"/>
          <w:sz w:val="20"/>
          <w:szCs w:val="20"/>
          <w:shd w:val="clear" w:color="auto" w:fill="FFFFFF"/>
        </w:rPr>
        <w:t>Koetter</w:t>
      </w:r>
      <w:proofErr w:type="spellEnd"/>
      <w:r w:rsidRPr="00611EE7">
        <w:rPr>
          <w:rFonts w:ascii="Arial" w:hAnsi="Arial" w:cs="Arial"/>
          <w:color w:val="222222"/>
          <w:sz w:val="20"/>
          <w:szCs w:val="20"/>
          <w:shd w:val="clear" w:color="auto" w:fill="FFFFFF"/>
        </w:rPr>
        <w:t xml:space="preserve">, M., </w:t>
      </w:r>
      <w:proofErr w:type="spellStart"/>
      <w:r w:rsidRPr="00611EE7">
        <w:rPr>
          <w:rFonts w:ascii="Arial" w:hAnsi="Arial" w:cs="Arial"/>
          <w:color w:val="222222"/>
          <w:sz w:val="20"/>
          <w:szCs w:val="20"/>
          <w:shd w:val="clear" w:color="auto" w:fill="FFFFFF"/>
        </w:rPr>
        <w:t>Kolari</w:t>
      </w:r>
      <w:proofErr w:type="spellEnd"/>
      <w:r w:rsidRPr="00611EE7">
        <w:rPr>
          <w:rFonts w:ascii="Arial" w:hAnsi="Arial" w:cs="Arial"/>
          <w:color w:val="222222"/>
          <w:sz w:val="20"/>
          <w:szCs w:val="20"/>
          <w:shd w:val="clear" w:color="auto" w:fill="FFFFFF"/>
        </w:rPr>
        <w:t xml:space="preserve">, J.W. and </w:t>
      </w:r>
      <w:proofErr w:type="spellStart"/>
      <w:r w:rsidRPr="00611EE7">
        <w:rPr>
          <w:rFonts w:ascii="Arial" w:hAnsi="Arial" w:cs="Arial"/>
          <w:color w:val="222222"/>
          <w:sz w:val="20"/>
          <w:szCs w:val="20"/>
          <w:shd w:val="clear" w:color="auto" w:fill="FFFFFF"/>
        </w:rPr>
        <w:t>Spierdijk</w:t>
      </w:r>
      <w:proofErr w:type="spellEnd"/>
      <w:r w:rsidRPr="00611EE7">
        <w:rPr>
          <w:rFonts w:ascii="Arial" w:hAnsi="Arial" w:cs="Arial"/>
          <w:color w:val="222222"/>
          <w:sz w:val="20"/>
          <w:szCs w:val="20"/>
          <w:shd w:val="clear" w:color="auto" w:fill="FFFFFF"/>
        </w:rPr>
        <w:t>, L. (2012).</w:t>
      </w:r>
      <w:proofErr w:type="gramEnd"/>
      <w:r w:rsidRPr="00611EE7">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Enjoying the quiet life under deregulation? Evidence from adjusted Lerner indices for US banks. </w:t>
      </w:r>
      <w:proofErr w:type="gramStart"/>
      <w:r>
        <w:rPr>
          <w:rFonts w:ascii="Arial" w:hAnsi="Arial" w:cs="Arial"/>
          <w:i/>
          <w:iCs/>
          <w:color w:val="222222"/>
          <w:sz w:val="20"/>
          <w:szCs w:val="20"/>
          <w:shd w:val="clear" w:color="auto" w:fill="FFFFFF"/>
        </w:rPr>
        <w:t>Review of Economics and Statistics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94</w:t>
      </w:r>
      <w:r>
        <w:rPr>
          <w:rFonts w:ascii="Arial" w:hAnsi="Arial" w:cs="Arial"/>
          <w:color w:val="222222"/>
          <w:sz w:val="20"/>
          <w:szCs w:val="20"/>
          <w:shd w:val="clear" w:color="auto" w:fill="FFFFFF"/>
        </w:rPr>
        <w:t>(2), pp.462-80.</w:t>
      </w:r>
      <w:proofErr w:type="gramEnd"/>
    </w:p>
    <w:p w:rsidR="00A6160A" w:rsidRDefault="00A6160A" w:rsidP="005374F0">
      <w:pPr>
        <w:rPr>
          <w:rFonts w:ascii="Arial" w:hAnsi="Arial" w:cs="Arial"/>
          <w:color w:val="222222"/>
          <w:sz w:val="20"/>
          <w:szCs w:val="20"/>
          <w:shd w:val="clear" w:color="auto" w:fill="FFFFFF"/>
        </w:rPr>
      </w:pPr>
      <w:r>
        <w:rPr>
          <w:sz w:val="23"/>
          <w:szCs w:val="23"/>
        </w:rPr>
        <w:lastRenderedPageBreak/>
        <w:t xml:space="preserve">Lerner, A.P. (1934). </w:t>
      </w:r>
      <w:proofErr w:type="gramStart"/>
      <w:r>
        <w:rPr>
          <w:sz w:val="23"/>
          <w:szCs w:val="23"/>
        </w:rPr>
        <w:t>The concept of monopoly and the measurement of monopoly power.</w:t>
      </w:r>
      <w:proofErr w:type="gramEnd"/>
      <w:r>
        <w:rPr>
          <w:sz w:val="23"/>
          <w:szCs w:val="23"/>
        </w:rPr>
        <w:t xml:space="preserve"> </w:t>
      </w:r>
      <w:proofErr w:type="gramStart"/>
      <w:r>
        <w:rPr>
          <w:sz w:val="23"/>
          <w:szCs w:val="23"/>
        </w:rPr>
        <w:t>The Review of Economic Studies 1, pp.157-75.</w:t>
      </w:r>
      <w:proofErr w:type="gramEnd"/>
    </w:p>
    <w:p w:rsidR="00714BBA" w:rsidRDefault="005374F0" w:rsidP="005374F0">
      <w:pPr>
        <w:rPr>
          <w:rFonts w:ascii="Times New Roman" w:hAnsi="Times New Roman" w:cs="Times New Roman"/>
          <w:sz w:val="24"/>
          <w:szCs w:val="24"/>
        </w:rPr>
      </w:pPr>
      <w:r w:rsidRPr="006029D1">
        <w:rPr>
          <w:rFonts w:ascii="Arial" w:hAnsi="Arial" w:cs="Arial"/>
          <w:color w:val="222222"/>
          <w:sz w:val="20"/>
          <w:szCs w:val="20"/>
          <w:shd w:val="clear" w:color="auto" w:fill="FFFFFF"/>
        </w:rPr>
        <w:t xml:space="preserve">Van </w:t>
      </w:r>
      <w:proofErr w:type="spellStart"/>
      <w:r w:rsidRPr="006029D1">
        <w:rPr>
          <w:rFonts w:ascii="Arial" w:hAnsi="Arial" w:cs="Arial"/>
          <w:color w:val="222222"/>
          <w:sz w:val="20"/>
          <w:szCs w:val="20"/>
          <w:shd w:val="clear" w:color="auto" w:fill="FFFFFF"/>
        </w:rPr>
        <w:t>Horen</w:t>
      </w:r>
      <w:proofErr w:type="spellEnd"/>
      <w:r w:rsidRPr="006029D1">
        <w:rPr>
          <w:rFonts w:ascii="Arial" w:hAnsi="Arial" w:cs="Arial"/>
          <w:color w:val="222222"/>
          <w:sz w:val="20"/>
          <w:szCs w:val="20"/>
          <w:shd w:val="clear" w:color="auto" w:fill="FFFFFF"/>
        </w:rPr>
        <w:t xml:space="preserve">, N. and </w:t>
      </w:r>
      <w:proofErr w:type="spellStart"/>
      <w:r w:rsidRPr="006029D1">
        <w:rPr>
          <w:rFonts w:ascii="Arial" w:hAnsi="Arial" w:cs="Arial"/>
          <w:color w:val="222222"/>
          <w:sz w:val="20"/>
          <w:szCs w:val="20"/>
          <w:shd w:val="clear" w:color="auto" w:fill="FFFFFF"/>
        </w:rPr>
        <w:t>Claessens</w:t>
      </w:r>
      <w:proofErr w:type="spellEnd"/>
      <w:r w:rsidRPr="006029D1">
        <w:rPr>
          <w:rFonts w:ascii="Arial" w:hAnsi="Arial" w:cs="Arial"/>
          <w:color w:val="222222"/>
          <w:sz w:val="20"/>
          <w:szCs w:val="20"/>
          <w:shd w:val="clear" w:color="auto" w:fill="FFFFFF"/>
        </w:rPr>
        <w:t>, S</w:t>
      </w:r>
      <w:proofErr w:type="gramStart"/>
      <w:r w:rsidRPr="006029D1">
        <w:rPr>
          <w:rFonts w:ascii="Arial" w:hAnsi="Arial" w:cs="Arial"/>
          <w:color w:val="222222"/>
          <w:sz w:val="20"/>
          <w:szCs w:val="20"/>
          <w:shd w:val="clear" w:color="auto" w:fill="FFFFFF"/>
        </w:rPr>
        <w:t>.(</w:t>
      </w:r>
      <w:proofErr w:type="gramEnd"/>
      <w:r w:rsidRPr="006029D1">
        <w:rPr>
          <w:rFonts w:ascii="Arial" w:hAnsi="Arial" w:cs="Arial"/>
          <w:color w:val="222222"/>
          <w:sz w:val="20"/>
          <w:szCs w:val="20"/>
          <w:shd w:val="clear" w:color="auto" w:fill="FFFFFF"/>
        </w:rPr>
        <w:t>2012). </w:t>
      </w:r>
      <w:r>
        <w:rPr>
          <w:rFonts w:ascii="Arial" w:hAnsi="Arial" w:cs="Arial"/>
          <w:i/>
          <w:iCs/>
          <w:color w:val="222222"/>
          <w:sz w:val="20"/>
          <w:szCs w:val="20"/>
          <w:shd w:val="clear" w:color="auto" w:fill="FFFFFF"/>
        </w:rPr>
        <w:t>Foreign Banks: Trends, Impact and Financial Stability</w:t>
      </w:r>
      <w:r>
        <w:rPr>
          <w:rFonts w:ascii="Arial" w:hAnsi="Arial" w:cs="Arial"/>
          <w:color w:val="222222"/>
          <w:sz w:val="20"/>
          <w:szCs w:val="20"/>
          <w:shd w:val="clear" w:color="auto" w:fill="FFFFFF"/>
        </w:rPr>
        <w:t xml:space="preserve">. </w:t>
      </w:r>
      <w:proofErr w:type="gramStart"/>
      <w:r>
        <w:rPr>
          <w:rFonts w:ascii="Arial" w:hAnsi="Arial" w:cs="Arial"/>
          <w:color w:val="222222"/>
          <w:sz w:val="20"/>
          <w:szCs w:val="20"/>
          <w:shd w:val="clear" w:color="auto" w:fill="FFFFFF"/>
        </w:rPr>
        <w:t>International Monetary Fund, pp1-38.</w:t>
      </w:r>
      <w:proofErr w:type="gramEnd"/>
      <w:r>
        <w:rPr>
          <w:rFonts w:ascii="Arial" w:hAnsi="Arial" w:cs="Arial"/>
          <w:color w:val="222222"/>
          <w:sz w:val="20"/>
          <w:szCs w:val="20"/>
          <w:shd w:val="clear" w:color="auto" w:fill="FFFFFF"/>
        </w:rPr>
        <w:t xml:space="preserve"> </w:t>
      </w:r>
    </w:p>
    <w:p w:rsidR="00714BBA" w:rsidRPr="00714BBA" w:rsidRDefault="00714BBA" w:rsidP="00AA5371">
      <w:pPr>
        <w:rPr>
          <w:rFonts w:ascii="Times New Roman" w:hAnsi="Times New Roman" w:cs="Times New Roman"/>
          <w:sz w:val="24"/>
          <w:szCs w:val="24"/>
        </w:rPr>
      </w:pPr>
    </w:p>
    <w:p w:rsidR="00CF1110" w:rsidRDefault="00CF1110" w:rsidP="00CF1110"/>
    <w:p w:rsidR="00C733BB" w:rsidRDefault="00C733BB">
      <w:pPr>
        <w:rPr>
          <w:rFonts w:ascii="Arial" w:hAnsi="Arial" w:cs="Arial"/>
          <w:color w:val="222222"/>
          <w:sz w:val="20"/>
          <w:szCs w:val="20"/>
          <w:shd w:val="clear" w:color="auto" w:fill="FFFFFF"/>
        </w:rPr>
      </w:pPr>
    </w:p>
    <w:p w:rsidR="00000014" w:rsidRDefault="00000014">
      <w:pPr>
        <w:rPr>
          <w:rFonts w:ascii="Arial" w:hAnsi="Arial" w:cs="Arial"/>
          <w:color w:val="222222"/>
          <w:sz w:val="20"/>
          <w:szCs w:val="20"/>
          <w:shd w:val="clear" w:color="auto" w:fill="FFFFFF"/>
        </w:rPr>
      </w:pPr>
    </w:p>
    <w:p w:rsidR="004E4DEE" w:rsidRDefault="004E4DEE">
      <w:pPr>
        <w:rPr>
          <w:rFonts w:ascii="Arial" w:hAnsi="Arial" w:cs="Arial"/>
          <w:color w:val="222222"/>
          <w:sz w:val="20"/>
          <w:szCs w:val="20"/>
          <w:shd w:val="clear" w:color="auto" w:fill="FFFFFF"/>
        </w:rPr>
      </w:pPr>
    </w:p>
    <w:p w:rsidR="004E4DEE" w:rsidRDefault="004E4DEE">
      <w:pPr>
        <w:rPr>
          <w:rFonts w:ascii="Arial" w:hAnsi="Arial" w:cs="Arial"/>
          <w:color w:val="222222"/>
          <w:sz w:val="20"/>
          <w:szCs w:val="20"/>
          <w:shd w:val="clear" w:color="auto" w:fill="FFFFFF"/>
        </w:rPr>
      </w:pPr>
    </w:p>
    <w:p w:rsidR="00714BBA" w:rsidRPr="00B037ED" w:rsidRDefault="00655626" w:rsidP="00714BBA">
      <w:r>
        <w:br w:type="page"/>
      </w:r>
    </w:p>
    <w:p w:rsidR="007401E1" w:rsidRPr="00B037ED" w:rsidRDefault="007401E1" w:rsidP="002B69A4"/>
    <w:sectPr w:rsidR="007401E1" w:rsidRPr="00B03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9A4"/>
    <w:rsid w:val="00000014"/>
    <w:rsid w:val="00001AB2"/>
    <w:rsid w:val="00047122"/>
    <w:rsid w:val="00096904"/>
    <w:rsid w:val="000A1026"/>
    <w:rsid w:val="000A179B"/>
    <w:rsid w:val="000E4073"/>
    <w:rsid w:val="001013ED"/>
    <w:rsid w:val="00103BFD"/>
    <w:rsid w:val="00110976"/>
    <w:rsid w:val="00111121"/>
    <w:rsid w:val="00116C91"/>
    <w:rsid w:val="00120B3B"/>
    <w:rsid w:val="00145D48"/>
    <w:rsid w:val="001520FA"/>
    <w:rsid w:val="001530B6"/>
    <w:rsid w:val="00165910"/>
    <w:rsid w:val="0018753B"/>
    <w:rsid w:val="00194D69"/>
    <w:rsid w:val="00197F30"/>
    <w:rsid w:val="001A7B4A"/>
    <w:rsid w:val="001B5581"/>
    <w:rsid w:val="001C12D0"/>
    <w:rsid w:val="001E0211"/>
    <w:rsid w:val="001F2A4E"/>
    <w:rsid w:val="002020AA"/>
    <w:rsid w:val="002041F1"/>
    <w:rsid w:val="00204BC7"/>
    <w:rsid w:val="002203A8"/>
    <w:rsid w:val="002A79A3"/>
    <w:rsid w:val="002B4422"/>
    <w:rsid w:val="002B69A4"/>
    <w:rsid w:val="002C3D61"/>
    <w:rsid w:val="003178C5"/>
    <w:rsid w:val="00342429"/>
    <w:rsid w:val="00345DEE"/>
    <w:rsid w:val="003557BF"/>
    <w:rsid w:val="003823D7"/>
    <w:rsid w:val="003B10BF"/>
    <w:rsid w:val="00405968"/>
    <w:rsid w:val="00416497"/>
    <w:rsid w:val="00423580"/>
    <w:rsid w:val="00425171"/>
    <w:rsid w:val="00463465"/>
    <w:rsid w:val="00466F98"/>
    <w:rsid w:val="00474273"/>
    <w:rsid w:val="004913B3"/>
    <w:rsid w:val="004B19A9"/>
    <w:rsid w:val="004B72C7"/>
    <w:rsid w:val="004E0548"/>
    <w:rsid w:val="004E4DEE"/>
    <w:rsid w:val="004F1D87"/>
    <w:rsid w:val="005028CD"/>
    <w:rsid w:val="005065A2"/>
    <w:rsid w:val="0052643A"/>
    <w:rsid w:val="00532E0F"/>
    <w:rsid w:val="005374F0"/>
    <w:rsid w:val="00550C1E"/>
    <w:rsid w:val="0055333B"/>
    <w:rsid w:val="0057257A"/>
    <w:rsid w:val="005772E1"/>
    <w:rsid w:val="00580E1E"/>
    <w:rsid w:val="00595548"/>
    <w:rsid w:val="005D760B"/>
    <w:rsid w:val="005E1F15"/>
    <w:rsid w:val="005E7E00"/>
    <w:rsid w:val="006005F6"/>
    <w:rsid w:val="006029D1"/>
    <w:rsid w:val="00611EE7"/>
    <w:rsid w:val="00625773"/>
    <w:rsid w:val="00647A7F"/>
    <w:rsid w:val="00651021"/>
    <w:rsid w:val="00655626"/>
    <w:rsid w:val="006A4EE9"/>
    <w:rsid w:val="006A6B31"/>
    <w:rsid w:val="006B534F"/>
    <w:rsid w:val="006C4326"/>
    <w:rsid w:val="00700048"/>
    <w:rsid w:val="00701BD5"/>
    <w:rsid w:val="00711100"/>
    <w:rsid w:val="00714BBA"/>
    <w:rsid w:val="00721CFF"/>
    <w:rsid w:val="00732290"/>
    <w:rsid w:val="007401E1"/>
    <w:rsid w:val="00781653"/>
    <w:rsid w:val="007A2EB7"/>
    <w:rsid w:val="007B7F01"/>
    <w:rsid w:val="007C47AC"/>
    <w:rsid w:val="007C4BA0"/>
    <w:rsid w:val="00806A2D"/>
    <w:rsid w:val="008469F7"/>
    <w:rsid w:val="008679C6"/>
    <w:rsid w:val="008713C0"/>
    <w:rsid w:val="00883D28"/>
    <w:rsid w:val="00895D3E"/>
    <w:rsid w:val="008A5093"/>
    <w:rsid w:val="008B6AA7"/>
    <w:rsid w:val="008C1A2A"/>
    <w:rsid w:val="008C33DD"/>
    <w:rsid w:val="008D0B5A"/>
    <w:rsid w:val="008E59AB"/>
    <w:rsid w:val="008F315C"/>
    <w:rsid w:val="008F667A"/>
    <w:rsid w:val="008F699E"/>
    <w:rsid w:val="009066CB"/>
    <w:rsid w:val="00924D2F"/>
    <w:rsid w:val="009319C0"/>
    <w:rsid w:val="00947B37"/>
    <w:rsid w:val="0097244D"/>
    <w:rsid w:val="00997EB0"/>
    <w:rsid w:val="009A4C05"/>
    <w:rsid w:val="009A5817"/>
    <w:rsid w:val="009C5226"/>
    <w:rsid w:val="009F134D"/>
    <w:rsid w:val="00A400C4"/>
    <w:rsid w:val="00A56573"/>
    <w:rsid w:val="00A6160A"/>
    <w:rsid w:val="00A621B6"/>
    <w:rsid w:val="00A76B57"/>
    <w:rsid w:val="00AA5371"/>
    <w:rsid w:val="00AD3F45"/>
    <w:rsid w:val="00AF1BC7"/>
    <w:rsid w:val="00B037ED"/>
    <w:rsid w:val="00B06631"/>
    <w:rsid w:val="00B84F8C"/>
    <w:rsid w:val="00B860ED"/>
    <w:rsid w:val="00BA4DFB"/>
    <w:rsid w:val="00BD4857"/>
    <w:rsid w:val="00BE4628"/>
    <w:rsid w:val="00BF3A8F"/>
    <w:rsid w:val="00C01A53"/>
    <w:rsid w:val="00C472F1"/>
    <w:rsid w:val="00C52756"/>
    <w:rsid w:val="00C733BB"/>
    <w:rsid w:val="00C85A8C"/>
    <w:rsid w:val="00C93842"/>
    <w:rsid w:val="00C9444F"/>
    <w:rsid w:val="00CC201C"/>
    <w:rsid w:val="00CC2E29"/>
    <w:rsid w:val="00CD4F6F"/>
    <w:rsid w:val="00CF0BBB"/>
    <w:rsid w:val="00CF1110"/>
    <w:rsid w:val="00D10119"/>
    <w:rsid w:val="00D14917"/>
    <w:rsid w:val="00D21532"/>
    <w:rsid w:val="00D616A9"/>
    <w:rsid w:val="00D671FF"/>
    <w:rsid w:val="00D70E1A"/>
    <w:rsid w:val="00D86F6C"/>
    <w:rsid w:val="00DB0616"/>
    <w:rsid w:val="00DC73BA"/>
    <w:rsid w:val="00E17B2E"/>
    <w:rsid w:val="00E23674"/>
    <w:rsid w:val="00E25CF4"/>
    <w:rsid w:val="00E31B5F"/>
    <w:rsid w:val="00E425D7"/>
    <w:rsid w:val="00E57074"/>
    <w:rsid w:val="00E70B53"/>
    <w:rsid w:val="00E83A74"/>
    <w:rsid w:val="00E8484D"/>
    <w:rsid w:val="00E91430"/>
    <w:rsid w:val="00E95B2D"/>
    <w:rsid w:val="00E96E5E"/>
    <w:rsid w:val="00EA7BA1"/>
    <w:rsid w:val="00EC1460"/>
    <w:rsid w:val="00EC1BD7"/>
    <w:rsid w:val="00EC1CFD"/>
    <w:rsid w:val="00EE2256"/>
    <w:rsid w:val="00EF1B79"/>
    <w:rsid w:val="00F00A13"/>
    <w:rsid w:val="00F21988"/>
    <w:rsid w:val="00F277FC"/>
    <w:rsid w:val="00F44C3D"/>
    <w:rsid w:val="00FB4740"/>
    <w:rsid w:val="00FB50B2"/>
    <w:rsid w:val="00FF0E2D"/>
    <w:rsid w:val="00FF0F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B69A4"/>
    <w:pPr>
      <w:autoSpaceDE w:val="0"/>
      <w:autoSpaceDN w:val="0"/>
      <w:adjustRightInd w:val="0"/>
      <w:spacing w:after="0" w:line="240" w:lineRule="auto"/>
    </w:pPr>
    <w:rPr>
      <w:rFonts w:ascii="Times New Roman" w:hAnsi="Times New Roman" w:cs="Times New Roman"/>
      <w:color w:val="000000"/>
      <w:sz w:val="24"/>
      <w:szCs w:val="24"/>
    </w:rPr>
  </w:style>
  <w:style w:type="character" w:styleId="PlaceholderText">
    <w:name w:val="Placeholder Text"/>
    <w:basedOn w:val="DefaultParagraphFont"/>
    <w:uiPriority w:val="99"/>
    <w:semiHidden/>
    <w:rsid w:val="006C4326"/>
    <w:rPr>
      <w:color w:val="808080"/>
    </w:rPr>
  </w:style>
  <w:style w:type="paragraph" w:styleId="BalloonText">
    <w:name w:val="Balloon Text"/>
    <w:basedOn w:val="Normal"/>
    <w:link w:val="BalloonTextChar"/>
    <w:uiPriority w:val="99"/>
    <w:semiHidden/>
    <w:unhideWhenUsed/>
    <w:rsid w:val="006C43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326"/>
    <w:rPr>
      <w:rFonts w:ascii="Tahoma" w:hAnsi="Tahoma" w:cs="Tahoma"/>
      <w:sz w:val="16"/>
      <w:szCs w:val="16"/>
    </w:rPr>
  </w:style>
  <w:style w:type="character" w:styleId="Hyperlink">
    <w:name w:val="Hyperlink"/>
    <w:basedOn w:val="DefaultParagraphFont"/>
    <w:uiPriority w:val="99"/>
    <w:unhideWhenUsed/>
    <w:rsid w:val="004E4DEE"/>
    <w:rPr>
      <w:color w:val="0000FF" w:themeColor="hyperlink"/>
      <w:u w:val="single"/>
    </w:rPr>
  </w:style>
  <w:style w:type="character" w:styleId="CommentReference">
    <w:name w:val="annotation reference"/>
    <w:basedOn w:val="DefaultParagraphFont"/>
    <w:uiPriority w:val="99"/>
    <w:semiHidden/>
    <w:unhideWhenUsed/>
    <w:rsid w:val="00711100"/>
    <w:rPr>
      <w:sz w:val="18"/>
      <w:szCs w:val="18"/>
    </w:rPr>
  </w:style>
  <w:style w:type="paragraph" w:styleId="CommentText">
    <w:name w:val="annotation text"/>
    <w:basedOn w:val="Normal"/>
    <w:link w:val="CommentTextChar"/>
    <w:uiPriority w:val="99"/>
    <w:semiHidden/>
    <w:unhideWhenUsed/>
    <w:rsid w:val="00711100"/>
    <w:pPr>
      <w:spacing w:after="0" w:line="240" w:lineRule="auto"/>
    </w:pPr>
    <w:rPr>
      <w:rFonts w:ascii="Times New Roman" w:eastAsiaTheme="minorHAnsi" w:hAnsi="Times New Roman" w:cs="Times New Roman"/>
      <w:sz w:val="24"/>
      <w:szCs w:val="24"/>
      <w:lang w:eastAsia="en-GB"/>
    </w:rPr>
  </w:style>
  <w:style w:type="character" w:customStyle="1" w:styleId="CommentTextChar">
    <w:name w:val="Comment Text Char"/>
    <w:basedOn w:val="DefaultParagraphFont"/>
    <w:link w:val="CommentText"/>
    <w:uiPriority w:val="99"/>
    <w:semiHidden/>
    <w:rsid w:val="00711100"/>
    <w:rPr>
      <w:rFonts w:ascii="Times New Roman" w:eastAsiaTheme="minorHAnsi" w:hAnsi="Times New Roman" w:cs="Times New Roman"/>
      <w:sz w:val="24"/>
      <w:szCs w:val="24"/>
      <w:lang w:eastAsia="en-GB"/>
    </w:rPr>
  </w:style>
  <w:style w:type="character" w:customStyle="1" w:styleId="apple-converted-space">
    <w:name w:val="apple-converted-space"/>
    <w:basedOn w:val="DefaultParagraphFont"/>
    <w:rsid w:val="00CF1110"/>
  </w:style>
  <w:style w:type="character" w:styleId="FollowedHyperlink">
    <w:name w:val="FollowedHyperlink"/>
    <w:basedOn w:val="DefaultParagraphFont"/>
    <w:uiPriority w:val="99"/>
    <w:semiHidden/>
    <w:unhideWhenUsed/>
    <w:rsid w:val="00895D3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B69A4"/>
    <w:pPr>
      <w:autoSpaceDE w:val="0"/>
      <w:autoSpaceDN w:val="0"/>
      <w:adjustRightInd w:val="0"/>
      <w:spacing w:after="0" w:line="240" w:lineRule="auto"/>
    </w:pPr>
    <w:rPr>
      <w:rFonts w:ascii="Times New Roman" w:hAnsi="Times New Roman" w:cs="Times New Roman"/>
      <w:color w:val="000000"/>
      <w:sz w:val="24"/>
      <w:szCs w:val="24"/>
    </w:rPr>
  </w:style>
  <w:style w:type="character" w:styleId="PlaceholderText">
    <w:name w:val="Placeholder Text"/>
    <w:basedOn w:val="DefaultParagraphFont"/>
    <w:uiPriority w:val="99"/>
    <w:semiHidden/>
    <w:rsid w:val="006C4326"/>
    <w:rPr>
      <w:color w:val="808080"/>
    </w:rPr>
  </w:style>
  <w:style w:type="paragraph" w:styleId="BalloonText">
    <w:name w:val="Balloon Text"/>
    <w:basedOn w:val="Normal"/>
    <w:link w:val="BalloonTextChar"/>
    <w:uiPriority w:val="99"/>
    <w:semiHidden/>
    <w:unhideWhenUsed/>
    <w:rsid w:val="006C43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326"/>
    <w:rPr>
      <w:rFonts w:ascii="Tahoma" w:hAnsi="Tahoma" w:cs="Tahoma"/>
      <w:sz w:val="16"/>
      <w:szCs w:val="16"/>
    </w:rPr>
  </w:style>
  <w:style w:type="character" w:styleId="Hyperlink">
    <w:name w:val="Hyperlink"/>
    <w:basedOn w:val="DefaultParagraphFont"/>
    <w:uiPriority w:val="99"/>
    <w:unhideWhenUsed/>
    <w:rsid w:val="004E4DEE"/>
    <w:rPr>
      <w:color w:val="0000FF" w:themeColor="hyperlink"/>
      <w:u w:val="single"/>
    </w:rPr>
  </w:style>
  <w:style w:type="character" w:styleId="CommentReference">
    <w:name w:val="annotation reference"/>
    <w:basedOn w:val="DefaultParagraphFont"/>
    <w:uiPriority w:val="99"/>
    <w:semiHidden/>
    <w:unhideWhenUsed/>
    <w:rsid w:val="00711100"/>
    <w:rPr>
      <w:sz w:val="18"/>
      <w:szCs w:val="18"/>
    </w:rPr>
  </w:style>
  <w:style w:type="paragraph" w:styleId="CommentText">
    <w:name w:val="annotation text"/>
    <w:basedOn w:val="Normal"/>
    <w:link w:val="CommentTextChar"/>
    <w:uiPriority w:val="99"/>
    <w:semiHidden/>
    <w:unhideWhenUsed/>
    <w:rsid w:val="00711100"/>
    <w:pPr>
      <w:spacing w:after="0" w:line="240" w:lineRule="auto"/>
    </w:pPr>
    <w:rPr>
      <w:rFonts w:ascii="Times New Roman" w:eastAsiaTheme="minorHAnsi" w:hAnsi="Times New Roman" w:cs="Times New Roman"/>
      <w:sz w:val="24"/>
      <w:szCs w:val="24"/>
      <w:lang w:eastAsia="en-GB"/>
    </w:rPr>
  </w:style>
  <w:style w:type="character" w:customStyle="1" w:styleId="CommentTextChar">
    <w:name w:val="Comment Text Char"/>
    <w:basedOn w:val="DefaultParagraphFont"/>
    <w:link w:val="CommentText"/>
    <w:uiPriority w:val="99"/>
    <w:semiHidden/>
    <w:rsid w:val="00711100"/>
    <w:rPr>
      <w:rFonts w:ascii="Times New Roman" w:eastAsiaTheme="minorHAnsi" w:hAnsi="Times New Roman" w:cs="Times New Roman"/>
      <w:sz w:val="24"/>
      <w:szCs w:val="24"/>
      <w:lang w:eastAsia="en-GB"/>
    </w:rPr>
  </w:style>
  <w:style w:type="character" w:customStyle="1" w:styleId="apple-converted-space">
    <w:name w:val="apple-converted-space"/>
    <w:basedOn w:val="DefaultParagraphFont"/>
    <w:rsid w:val="00CF1110"/>
  </w:style>
  <w:style w:type="character" w:styleId="FollowedHyperlink">
    <w:name w:val="FollowedHyperlink"/>
    <w:basedOn w:val="DefaultParagraphFont"/>
    <w:uiPriority w:val="99"/>
    <w:semiHidden/>
    <w:unhideWhenUsed/>
    <w:rsid w:val="00895D3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203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10</Pages>
  <Words>3384</Words>
  <Characters>19290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Essex</Company>
  <LinksUpToDate>false</LinksUpToDate>
  <CharactersWithSpaces>22629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Computing Labs</dc:creator>
  <cp:lastModifiedBy>Computing Labs</cp:lastModifiedBy>
  <cp:revision>16</cp:revision>
  <dcterms:created xsi:type="dcterms:W3CDTF">2017-07-06T02:37:00Z</dcterms:created>
  <dcterms:modified xsi:type="dcterms:W3CDTF">2017-07-06T19:30:00Z</dcterms:modified>
</cp:coreProperties>
</file>