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744" w:rsidRDefault="00660AF4">
      <w:pPr>
        <w:rPr>
          <w:b/>
        </w:rPr>
      </w:pPr>
      <w:r w:rsidRPr="00660AF4">
        <w:rPr>
          <w:b/>
        </w:rPr>
        <w:t>Optimal Lag Selection Criteria for Co-integration Test</w:t>
      </w:r>
    </w:p>
    <w:p w:rsidR="00660AF4" w:rsidRDefault="00660AF4" w:rsidP="00660AF4">
      <w:pPr>
        <w:jc w:val="both"/>
      </w:pPr>
      <w:r>
        <w:t>There are several methods to check the co</w:t>
      </w:r>
      <w:r w:rsidR="00D02081">
        <w:t>-</w:t>
      </w:r>
      <w:r>
        <w:t xml:space="preserve">integration relationship (long run relationship) between the two or more variables. Johansen’s co-integration (JC) test is most popular method. One of the weaknesses of JC test is the results are very sensitive to the lags we choose to run this model. Therefore, optimal lag selection is very important to run JC test. Here </w:t>
      </w:r>
      <w:r w:rsidR="00D02081">
        <w:t>is</w:t>
      </w:r>
      <w:r>
        <w:t xml:space="preserve"> some guidance for the same. </w:t>
      </w:r>
    </w:p>
    <w:p w:rsidR="00660AF4" w:rsidRDefault="00660AF4" w:rsidP="00660AF4">
      <w:pPr>
        <w:jc w:val="both"/>
      </w:pPr>
      <w:r>
        <w:t xml:space="preserve">Step 1: Run </w:t>
      </w:r>
      <w:r w:rsidR="00D02081">
        <w:t>an</w:t>
      </w:r>
      <w:r>
        <w:t xml:space="preserve"> unrestricted VAR model on two or more </w:t>
      </w:r>
      <w:r w:rsidRPr="00660AF4">
        <w:rPr>
          <w:b/>
        </w:rPr>
        <w:t>non- stationary</w:t>
      </w:r>
      <w:r>
        <w:t xml:space="preserve"> series from 1 to maximum number of lags. Here the maximum number of lags should be decided by us based upon the nature of the data. Say for example 1 to 25 lags. And note down the </w:t>
      </w:r>
      <w:proofErr w:type="spellStart"/>
      <w:r>
        <w:t>Akaike</w:t>
      </w:r>
      <w:proofErr w:type="spellEnd"/>
      <w:r>
        <w:t xml:space="preserve"> Information </w:t>
      </w:r>
      <w:r w:rsidR="002B4E4E">
        <w:t>Criterion and Schwarz c</w:t>
      </w:r>
      <w:r w:rsidR="00D02081">
        <w:t>riterion for all the VAR</w:t>
      </w:r>
      <w:r w:rsidR="002B4E4E">
        <w:t xml:space="preserve"> models you run.</w:t>
      </w:r>
    </w:p>
    <w:p w:rsidR="00660AF4" w:rsidRPr="00660AF4" w:rsidRDefault="00660AF4" w:rsidP="00660AF4">
      <w:pPr>
        <w:autoSpaceDE w:val="0"/>
        <w:autoSpaceDN w:val="0"/>
        <w:adjustRightInd w:val="0"/>
        <w:spacing w:after="0" w:line="240" w:lineRule="auto"/>
        <w:rPr>
          <w:rFonts w:ascii="Arial" w:hAnsi="Arial" w:cs="Arial"/>
          <w:sz w:val="18"/>
          <w:szCs w:val="18"/>
        </w:rPr>
      </w:pPr>
    </w:p>
    <w:tbl>
      <w:tblPr>
        <w:tblW w:w="0" w:type="auto"/>
        <w:tblInd w:w="30" w:type="dxa"/>
        <w:tblLayout w:type="fixed"/>
        <w:tblCellMar>
          <w:left w:w="0" w:type="dxa"/>
          <w:right w:w="0" w:type="dxa"/>
        </w:tblCellMar>
        <w:tblLook w:val="0000"/>
      </w:tblPr>
      <w:tblGrid>
        <w:gridCol w:w="2227"/>
        <w:gridCol w:w="1313"/>
        <w:gridCol w:w="1312"/>
      </w:tblGrid>
      <w:tr w:rsidR="00660AF4" w:rsidRPr="00660AF4">
        <w:tblPrEx>
          <w:tblCellMar>
            <w:top w:w="0" w:type="dxa"/>
            <w:bottom w:w="0" w:type="dxa"/>
          </w:tblCellMar>
        </w:tblPrEx>
        <w:trPr>
          <w:trHeight w:hRule="exact" w:val="90"/>
        </w:trPr>
        <w:tc>
          <w:tcPr>
            <w:tcW w:w="2227" w:type="dxa"/>
            <w:tcBorders>
              <w:top w:val="nil"/>
              <w:left w:val="nil"/>
              <w:bottom w:val="double" w:sz="6" w:space="2" w:color="auto"/>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c>
          <w:tcPr>
            <w:tcW w:w="1313" w:type="dxa"/>
            <w:tcBorders>
              <w:top w:val="nil"/>
              <w:left w:val="nil"/>
              <w:bottom w:val="double" w:sz="6" w:space="2" w:color="auto"/>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c>
          <w:tcPr>
            <w:tcW w:w="1312" w:type="dxa"/>
            <w:tcBorders>
              <w:top w:val="nil"/>
              <w:left w:val="nil"/>
              <w:bottom w:val="double" w:sz="6" w:space="2" w:color="auto"/>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r>
      <w:tr w:rsidR="00660AF4" w:rsidRPr="00660AF4">
        <w:tblPrEx>
          <w:tblCellMar>
            <w:top w:w="0" w:type="dxa"/>
            <w:bottom w:w="0" w:type="dxa"/>
          </w:tblCellMar>
        </w:tblPrEx>
        <w:trPr>
          <w:trHeight w:hRule="exact" w:val="135"/>
        </w:trPr>
        <w:tc>
          <w:tcPr>
            <w:tcW w:w="2227"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c>
          <w:tcPr>
            <w:tcW w:w="1313"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c>
          <w:tcPr>
            <w:tcW w:w="1312"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r>
      <w:tr w:rsidR="00660AF4" w:rsidRPr="00660AF4" w:rsidTr="00660AF4">
        <w:tblPrEx>
          <w:tblCellMar>
            <w:top w:w="0" w:type="dxa"/>
            <w:bottom w:w="0" w:type="dxa"/>
          </w:tblCellMar>
        </w:tblPrEx>
        <w:trPr>
          <w:trHeight w:val="225"/>
        </w:trPr>
        <w:tc>
          <w:tcPr>
            <w:tcW w:w="2227" w:type="dxa"/>
            <w:gridSpan w:val="2"/>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rPr>
                <w:rFonts w:ascii="Arial" w:hAnsi="Arial" w:cs="Arial"/>
                <w:color w:val="000000"/>
                <w:sz w:val="18"/>
                <w:szCs w:val="18"/>
              </w:rPr>
            </w:pPr>
            <w:r w:rsidRPr="00660AF4">
              <w:rPr>
                <w:rFonts w:ascii="Arial" w:hAnsi="Arial" w:cs="Arial"/>
                <w:color w:val="000000"/>
                <w:sz w:val="18"/>
                <w:szCs w:val="18"/>
              </w:rPr>
              <w:t xml:space="preserve"> Determinant </w:t>
            </w:r>
            <w:proofErr w:type="spellStart"/>
            <w:r w:rsidRPr="00660AF4">
              <w:rPr>
                <w:rFonts w:ascii="Arial" w:hAnsi="Arial" w:cs="Arial"/>
                <w:color w:val="000000"/>
                <w:sz w:val="18"/>
                <w:szCs w:val="18"/>
              </w:rPr>
              <w:t>resid</w:t>
            </w:r>
            <w:proofErr w:type="spellEnd"/>
            <w:r w:rsidRPr="00660AF4">
              <w:rPr>
                <w:rFonts w:ascii="Arial" w:hAnsi="Arial" w:cs="Arial"/>
                <w:color w:val="000000"/>
                <w:sz w:val="18"/>
                <w:szCs w:val="18"/>
              </w:rPr>
              <w:t xml:space="preserve"> covariance (</w:t>
            </w:r>
            <w:proofErr w:type="spellStart"/>
            <w:r w:rsidRPr="00660AF4">
              <w:rPr>
                <w:rFonts w:ascii="Arial" w:hAnsi="Arial" w:cs="Arial"/>
                <w:color w:val="000000"/>
                <w:sz w:val="18"/>
                <w:szCs w:val="18"/>
              </w:rPr>
              <w:t>dof</w:t>
            </w:r>
            <w:proofErr w:type="spellEnd"/>
            <w:r w:rsidRPr="00660AF4">
              <w:rPr>
                <w:rFonts w:ascii="Arial" w:hAnsi="Arial" w:cs="Arial"/>
                <w:color w:val="000000"/>
                <w:sz w:val="18"/>
                <w:szCs w:val="18"/>
              </w:rPr>
              <w:t xml:space="preserve"> adj.)</w:t>
            </w:r>
          </w:p>
        </w:tc>
        <w:tc>
          <w:tcPr>
            <w:tcW w:w="1312"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r w:rsidRPr="00660AF4">
              <w:rPr>
                <w:rFonts w:ascii="Arial" w:hAnsi="Arial" w:cs="Arial"/>
                <w:color w:val="000000"/>
                <w:sz w:val="18"/>
                <w:szCs w:val="18"/>
              </w:rPr>
              <w:t> 5098.132</w:t>
            </w:r>
          </w:p>
        </w:tc>
      </w:tr>
      <w:tr w:rsidR="00660AF4" w:rsidRPr="00660AF4" w:rsidTr="00660AF4">
        <w:tblPrEx>
          <w:tblCellMar>
            <w:top w:w="0" w:type="dxa"/>
            <w:bottom w:w="0" w:type="dxa"/>
          </w:tblCellMar>
        </w:tblPrEx>
        <w:trPr>
          <w:trHeight w:val="225"/>
        </w:trPr>
        <w:tc>
          <w:tcPr>
            <w:tcW w:w="2227" w:type="dxa"/>
            <w:gridSpan w:val="2"/>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rPr>
                <w:rFonts w:ascii="Arial" w:hAnsi="Arial" w:cs="Arial"/>
                <w:color w:val="000000"/>
                <w:sz w:val="18"/>
                <w:szCs w:val="18"/>
              </w:rPr>
            </w:pPr>
            <w:r w:rsidRPr="00660AF4">
              <w:rPr>
                <w:rFonts w:ascii="Arial" w:hAnsi="Arial" w:cs="Arial"/>
                <w:color w:val="000000"/>
                <w:sz w:val="18"/>
                <w:szCs w:val="18"/>
              </w:rPr>
              <w:t xml:space="preserve"> Determinant </w:t>
            </w:r>
            <w:proofErr w:type="spellStart"/>
            <w:r w:rsidRPr="00660AF4">
              <w:rPr>
                <w:rFonts w:ascii="Arial" w:hAnsi="Arial" w:cs="Arial"/>
                <w:color w:val="000000"/>
                <w:sz w:val="18"/>
                <w:szCs w:val="18"/>
              </w:rPr>
              <w:t>resid</w:t>
            </w:r>
            <w:proofErr w:type="spellEnd"/>
            <w:r w:rsidRPr="00660AF4">
              <w:rPr>
                <w:rFonts w:ascii="Arial" w:hAnsi="Arial" w:cs="Arial"/>
                <w:color w:val="000000"/>
                <w:sz w:val="18"/>
                <w:szCs w:val="18"/>
              </w:rPr>
              <w:t xml:space="preserve"> covariance</w:t>
            </w:r>
          </w:p>
        </w:tc>
        <w:tc>
          <w:tcPr>
            <w:tcW w:w="1312"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r w:rsidRPr="00660AF4">
              <w:rPr>
                <w:rFonts w:ascii="Arial" w:hAnsi="Arial" w:cs="Arial"/>
                <w:color w:val="000000"/>
                <w:sz w:val="18"/>
                <w:szCs w:val="18"/>
              </w:rPr>
              <w:t> 5056.935</w:t>
            </w:r>
          </w:p>
        </w:tc>
      </w:tr>
      <w:tr w:rsidR="00660AF4" w:rsidRPr="00660AF4" w:rsidTr="00660AF4">
        <w:tblPrEx>
          <w:tblCellMar>
            <w:top w:w="0" w:type="dxa"/>
            <w:bottom w:w="0" w:type="dxa"/>
          </w:tblCellMar>
        </w:tblPrEx>
        <w:trPr>
          <w:trHeight w:val="225"/>
        </w:trPr>
        <w:tc>
          <w:tcPr>
            <w:tcW w:w="2227" w:type="dxa"/>
            <w:gridSpan w:val="2"/>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rPr>
                <w:rFonts w:ascii="Arial" w:hAnsi="Arial" w:cs="Arial"/>
                <w:color w:val="000000"/>
                <w:sz w:val="18"/>
                <w:szCs w:val="18"/>
              </w:rPr>
            </w:pPr>
            <w:r w:rsidRPr="00660AF4">
              <w:rPr>
                <w:rFonts w:ascii="Arial" w:hAnsi="Arial" w:cs="Arial"/>
                <w:color w:val="000000"/>
                <w:sz w:val="18"/>
                <w:szCs w:val="18"/>
              </w:rPr>
              <w:t> Log likelihood</w:t>
            </w:r>
          </w:p>
        </w:tc>
        <w:tc>
          <w:tcPr>
            <w:tcW w:w="1312"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r w:rsidRPr="00660AF4">
              <w:rPr>
                <w:rFonts w:ascii="Arial" w:hAnsi="Arial" w:cs="Arial"/>
                <w:color w:val="000000"/>
                <w:sz w:val="18"/>
                <w:szCs w:val="18"/>
              </w:rPr>
              <w:t>-8771.137</w:t>
            </w:r>
          </w:p>
        </w:tc>
      </w:tr>
      <w:tr w:rsidR="00660AF4" w:rsidRPr="00660AF4" w:rsidTr="002B4E4E">
        <w:tblPrEx>
          <w:tblCellMar>
            <w:top w:w="0" w:type="dxa"/>
            <w:bottom w:w="0" w:type="dxa"/>
          </w:tblCellMar>
        </w:tblPrEx>
        <w:trPr>
          <w:trHeight w:val="225"/>
        </w:trPr>
        <w:tc>
          <w:tcPr>
            <w:tcW w:w="2227" w:type="dxa"/>
            <w:gridSpan w:val="2"/>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rPr>
                <w:rFonts w:ascii="Arial" w:hAnsi="Arial" w:cs="Arial"/>
                <w:color w:val="000000"/>
                <w:sz w:val="18"/>
                <w:szCs w:val="18"/>
              </w:rPr>
            </w:pPr>
            <w:r w:rsidRPr="00660AF4">
              <w:rPr>
                <w:rFonts w:ascii="Arial" w:hAnsi="Arial" w:cs="Arial"/>
                <w:color w:val="000000"/>
                <w:sz w:val="18"/>
                <w:szCs w:val="18"/>
              </w:rPr>
              <w:t> </w:t>
            </w:r>
            <w:proofErr w:type="spellStart"/>
            <w:r w:rsidRPr="00660AF4">
              <w:rPr>
                <w:rFonts w:ascii="Arial" w:hAnsi="Arial" w:cs="Arial"/>
                <w:color w:val="000000"/>
                <w:sz w:val="18"/>
                <w:szCs w:val="18"/>
              </w:rPr>
              <w:t>Akaike</w:t>
            </w:r>
            <w:proofErr w:type="spellEnd"/>
            <w:r w:rsidRPr="00660AF4">
              <w:rPr>
                <w:rFonts w:ascii="Arial" w:hAnsi="Arial" w:cs="Arial"/>
                <w:color w:val="000000"/>
                <w:sz w:val="18"/>
                <w:szCs w:val="18"/>
              </w:rPr>
              <w:t xml:space="preserve"> information criterion</w:t>
            </w:r>
          </w:p>
        </w:tc>
        <w:tc>
          <w:tcPr>
            <w:tcW w:w="1312" w:type="dxa"/>
            <w:tcBorders>
              <w:top w:val="nil"/>
              <w:left w:val="nil"/>
              <w:bottom w:val="nil"/>
              <w:right w:val="nil"/>
            </w:tcBorders>
            <w:shd w:val="clear" w:color="auto" w:fill="C0504D" w:themeFill="accent2"/>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r w:rsidRPr="00660AF4">
              <w:rPr>
                <w:rFonts w:ascii="Arial" w:hAnsi="Arial" w:cs="Arial"/>
                <w:color w:val="000000"/>
                <w:sz w:val="18"/>
                <w:szCs w:val="18"/>
              </w:rPr>
              <w:t> 14.22046</w:t>
            </w:r>
          </w:p>
        </w:tc>
      </w:tr>
      <w:tr w:rsidR="00660AF4" w:rsidRPr="00660AF4" w:rsidTr="002B4E4E">
        <w:tblPrEx>
          <w:tblCellMar>
            <w:top w:w="0" w:type="dxa"/>
            <w:bottom w:w="0" w:type="dxa"/>
          </w:tblCellMar>
        </w:tblPrEx>
        <w:trPr>
          <w:trHeight w:val="225"/>
        </w:trPr>
        <w:tc>
          <w:tcPr>
            <w:tcW w:w="2227" w:type="dxa"/>
            <w:gridSpan w:val="2"/>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rPr>
                <w:rFonts w:ascii="Arial" w:hAnsi="Arial" w:cs="Arial"/>
                <w:color w:val="000000"/>
                <w:sz w:val="18"/>
                <w:szCs w:val="18"/>
              </w:rPr>
            </w:pPr>
            <w:r w:rsidRPr="00660AF4">
              <w:rPr>
                <w:rFonts w:ascii="Arial" w:hAnsi="Arial" w:cs="Arial"/>
                <w:color w:val="000000"/>
                <w:sz w:val="18"/>
                <w:szCs w:val="18"/>
              </w:rPr>
              <w:t> Schwarz criterion</w:t>
            </w:r>
          </w:p>
        </w:tc>
        <w:tc>
          <w:tcPr>
            <w:tcW w:w="1312" w:type="dxa"/>
            <w:tcBorders>
              <w:top w:val="nil"/>
              <w:left w:val="nil"/>
              <w:bottom w:val="nil"/>
              <w:right w:val="nil"/>
            </w:tcBorders>
            <w:shd w:val="clear" w:color="auto" w:fill="C0504D" w:themeFill="accent2"/>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r w:rsidRPr="00660AF4">
              <w:rPr>
                <w:rFonts w:ascii="Arial" w:hAnsi="Arial" w:cs="Arial"/>
                <w:color w:val="000000"/>
                <w:sz w:val="18"/>
                <w:szCs w:val="18"/>
              </w:rPr>
              <w:t> 14.26191</w:t>
            </w:r>
          </w:p>
        </w:tc>
      </w:tr>
      <w:tr w:rsidR="00660AF4" w:rsidRPr="00660AF4">
        <w:tblPrEx>
          <w:tblCellMar>
            <w:top w:w="0" w:type="dxa"/>
            <w:bottom w:w="0" w:type="dxa"/>
          </w:tblCellMar>
        </w:tblPrEx>
        <w:trPr>
          <w:trHeight w:hRule="exact" w:val="90"/>
        </w:trPr>
        <w:tc>
          <w:tcPr>
            <w:tcW w:w="2227" w:type="dxa"/>
            <w:tcBorders>
              <w:top w:val="nil"/>
              <w:left w:val="nil"/>
              <w:bottom w:val="double" w:sz="6" w:space="0" w:color="auto"/>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c>
          <w:tcPr>
            <w:tcW w:w="1313" w:type="dxa"/>
            <w:tcBorders>
              <w:top w:val="nil"/>
              <w:left w:val="nil"/>
              <w:bottom w:val="double" w:sz="6" w:space="0" w:color="auto"/>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c>
          <w:tcPr>
            <w:tcW w:w="1312" w:type="dxa"/>
            <w:tcBorders>
              <w:top w:val="nil"/>
              <w:left w:val="nil"/>
              <w:bottom w:val="double" w:sz="6" w:space="0" w:color="auto"/>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r>
      <w:tr w:rsidR="00660AF4" w:rsidRPr="00660AF4">
        <w:tblPrEx>
          <w:tblCellMar>
            <w:top w:w="0" w:type="dxa"/>
            <w:bottom w:w="0" w:type="dxa"/>
          </w:tblCellMar>
        </w:tblPrEx>
        <w:trPr>
          <w:trHeight w:hRule="exact" w:val="135"/>
        </w:trPr>
        <w:tc>
          <w:tcPr>
            <w:tcW w:w="2227"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c>
          <w:tcPr>
            <w:tcW w:w="1313"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c>
          <w:tcPr>
            <w:tcW w:w="1312" w:type="dxa"/>
            <w:tcBorders>
              <w:top w:val="nil"/>
              <w:left w:val="nil"/>
              <w:bottom w:val="nil"/>
              <w:right w:val="nil"/>
            </w:tcBorders>
            <w:vAlign w:val="bottom"/>
          </w:tcPr>
          <w:p w:rsidR="00660AF4" w:rsidRPr="00660AF4" w:rsidRDefault="00660AF4" w:rsidP="00660AF4">
            <w:pPr>
              <w:autoSpaceDE w:val="0"/>
              <w:autoSpaceDN w:val="0"/>
              <w:adjustRightInd w:val="0"/>
              <w:spacing w:after="0" w:line="240" w:lineRule="auto"/>
              <w:jc w:val="center"/>
              <w:rPr>
                <w:rFonts w:ascii="Arial" w:hAnsi="Arial" w:cs="Arial"/>
                <w:color w:val="000000"/>
                <w:sz w:val="18"/>
                <w:szCs w:val="18"/>
              </w:rPr>
            </w:pPr>
          </w:p>
        </w:tc>
      </w:tr>
    </w:tbl>
    <w:p w:rsidR="002B4E4E" w:rsidRDefault="002B4E4E" w:rsidP="00660AF4">
      <w:pPr>
        <w:jc w:val="both"/>
        <w:rPr>
          <w:rFonts w:ascii="Arial" w:hAnsi="Arial" w:cs="Arial"/>
          <w:sz w:val="18"/>
          <w:szCs w:val="18"/>
        </w:rPr>
      </w:pPr>
    </w:p>
    <w:tbl>
      <w:tblPr>
        <w:tblW w:w="3066" w:type="dxa"/>
        <w:tblInd w:w="94" w:type="dxa"/>
        <w:tblLook w:val="04A0"/>
      </w:tblPr>
      <w:tblGrid>
        <w:gridCol w:w="960"/>
        <w:gridCol w:w="1056"/>
        <w:gridCol w:w="1056"/>
      </w:tblGrid>
      <w:tr w:rsidR="00B938EF" w:rsidRPr="00B938EF" w:rsidTr="00B938EF">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Lags</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AIC</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SIC</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14.25121</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14.27605</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b/>
                <w:color w:val="000000"/>
                <w:sz w:val="22"/>
                <w:lang w:eastAsia="en-GB"/>
              </w:rPr>
            </w:pPr>
            <w:r w:rsidRPr="00B938EF">
              <w:rPr>
                <w:rFonts w:ascii="Calibri" w:eastAsia="Times New Roman" w:hAnsi="Calibri" w:cs="Calibri"/>
                <w:b/>
                <w:color w:val="000000"/>
                <w:sz w:val="22"/>
                <w:lang w:eastAsia="en-GB"/>
              </w:rPr>
              <w:t>2</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b/>
                <w:color w:val="000000"/>
                <w:sz w:val="22"/>
                <w:lang w:eastAsia="en-GB"/>
              </w:rPr>
            </w:pPr>
            <w:r w:rsidRPr="00B938EF">
              <w:rPr>
                <w:rFonts w:ascii="Calibri" w:eastAsia="Times New Roman" w:hAnsi="Calibri" w:cs="Calibri"/>
                <w:b/>
                <w:color w:val="000000"/>
                <w:sz w:val="22"/>
                <w:lang w:eastAsia="en-GB"/>
              </w:rPr>
              <w:t>14.22046</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b/>
                <w:color w:val="000000"/>
                <w:sz w:val="22"/>
                <w:lang w:eastAsia="en-GB"/>
              </w:rPr>
            </w:pPr>
            <w:r w:rsidRPr="00B938EF">
              <w:rPr>
                <w:rFonts w:ascii="Calibri" w:eastAsia="Times New Roman" w:hAnsi="Calibri" w:cs="Calibri"/>
                <w:b/>
                <w:color w:val="000000"/>
                <w:sz w:val="22"/>
                <w:lang w:eastAsia="en-GB"/>
              </w:rPr>
              <w:t>14.26191</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3</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14.22737</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14.28547</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4</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14.22687</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14.30167</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5</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14.22404</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14.31559</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6</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14.22985</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14.33818</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7</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14.23454</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14.3597</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8</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14.2342</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14.37623</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9</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14.23901</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14.39797</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10</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14.24527</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14.42119</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15</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14.26881</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14.53023</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20</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14.26648</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14.61454</w:t>
            </w:r>
          </w:p>
        </w:tc>
      </w:tr>
      <w:tr w:rsidR="00B938EF" w:rsidRPr="00B938EF" w:rsidTr="00B938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25</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14.26654</w:t>
            </w:r>
          </w:p>
        </w:tc>
        <w:tc>
          <w:tcPr>
            <w:tcW w:w="1053" w:type="dxa"/>
            <w:tcBorders>
              <w:top w:val="nil"/>
              <w:left w:val="nil"/>
              <w:bottom w:val="single" w:sz="4" w:space="0" w:color="auto"/>
              <w:right w:val="single" w:sz="4" w:space="0" w:color="auto"/>
            </w:tcBorders>
            <w:shd w:val="clear" w:color="auto" w:fill="auto"/>
            <w:noWrap/>
            <w:vAlign w:val="bottom"/>
            <w:hideMark/>
          </w:tcPr>
          <w:p w:rsidR="00B938EF" w:rsidRPr="00B938EF" w:rsidRDefault="00B938EF" w:rsidP="00B938EF">
            <w:pPr>
              <w:spacing w:after="0" w:line="240" w:lineRule="auto"/>
              <w:jc w:val="right"/>
              <w:rPr>
                <w:rFonts w:ascii="Calibri" w:eastAsia="Times New Roman" w:hAnsi="Calibri" w:cs="Calibri"/>
                <w:color w:val="000000"/>
                <w:sz w:val="22"/>
                <w:lang w:eastAsia="en-GB"/>
              </w:rPr>
            </w:pPr>
            <w:r w:rsidRPr="00B938EF">
              <w:rPr>
                <w:rFonts w:ascii="Calibri" w:eastAsia="Times New Roman" w:hAnsi="Calibri" w:cs="Calibri"/>
                <w:color w:val="000000"/>
                <w:sz w:val="22"/>
                <w:lang w:eastAsia="en-GB"/>
              </w:rPr>
              <w:t>14.70241</w:t>
            </w:r>
          </w:p>
        </w:tc>
      </w:tr>
    </w:tbl>
    <w:p w:rsidR="00B938EF" w:rsidRDefault="00B938EF" w:rsidP="00660AF4">
      <w:pPr>
        <w:jc w:val="both"/>
        <w:rPr>
          <w:rFonts w:ascii="Arial" w:hAnsi="Arial" w:cs="Arial"/>
          <w:sz w:val="18"/>
          <w:szCs w:val="18"/>
        </w:rPr>
      </w:pPr>
    </w:p>
    <w:p w:rsidR="00D02081" w:rsidRDefault="002B4E4E" w:rsidP="00D02081">
      <w:pPr>
        <w:jc w:val="both"/>
        <w:rPr>
          <w:rFonts w:cs="Times New Roman"/>
          <w:szCs w:val="24"/>
        </w:rPr>
      </w:pPr>
      <w:r>
        <w:rPr>
          <w:rFonts w:cs="Times New Roman"/>
          <w:szCs w:val="24"/>
        </w:rPr>
        <w:t xml:space="preserve">Step 2: </w:t>
      </w:r>
      <w:r w:rsidR="00D02081">
        <w:rPr>
          <w:rFonts w:cs="Times New Roman"/>
          <w:szCs w:val="24"/>
        </w:rPr>
        <w:t xml:space="preserve">Choose the minimum value of AIC and SC and note their respective lag numbers. If they are </w:t>
      </w:r>
      <w:r w:rsidR="00B938EF">
        <w:rPr>
          <w:rFonts w:cs="Times New Roman"/>
          <w:szCs w:val="24"/>
        </w:rPr>
        <w:t>lowest</w:t>
      </w:r>
      <w:r w:rsidR="00D02081">
        <w:rPr>
          <w:rFonts w:cs="Times New Roman"/>
          <w:szCs w:val="24"/>
        </w:rPr>
        <w:t xml:space="preserve"> in the same </w:t>
      </w:r>
      <w:r w:rsidR="00B938EF">
        <w:rPr>
          <w:rFonts w:cs="Times New Roman"/>
          <w:szCs w:val="24"/>
        </w:rPr>
        <w:t xml:space="preserve">lags you can directly select that </w:t>
      </w:r>
      <w:r w:rsidR="00D02081">
        <w:rPr>
          <w:rFonts w:cs="Times New Roman"/>
          <w:szCs w:val="24"/>
        </w:rPr>
        <w:t>lag. If the AIC and SC are minimum in different lags then you have freedom to choose any one among the two. For example AIC and SC values are lowest at lag 2, then your lag length is 2. If AIC is lowest at lag 4 and SC is lowest at lag 2, now you have the option to choose any one as your VAR system lag. You can choose either   2 or 4 as your VAR system lags.</w:t>
      </w:r>
    </w:p>
    <w:p w:rsidR="00660AF4" w:rsidRDefault="00D02081" w:rsidP="00B938EF">
      <w:pPr>
        <w:jc w:val="both"/>
      </w:pPr>
      <w:r>
        <w:rPr>
          <w:rFonts w:cs="Times New Roman"/>
          <w:szCs w:val="24"/>
        </w:rPr>
        <w:t xml:space="preserve">Step 3: Now come back to the Johansen’s co-integration model and run the JC model for the </w:t>
      </w:r>
      <w:r w:rsidRPr="00D02081">
        <w:rPr>
          <w:rFonts w:cs="Times New Roman"/>
          <w:b/>
          <w:szCs w:val="24"/>
        </w:rPr>
        <w:t>stationary</w:t>
      </w:r>
      <w:r>
        <w:rPr>
          <w:rFonts w:cs="Times New Roman"/>
          <w:szCs w:val="24"/>
        </w:rPr>
        <w:t xml:space="preserve"> series. (Remember you ran the VAR for non-stationary). Now the lag length for JC model is one less than the VAR system lag which you chosen in step 3. For example if you chosen VAR system lag as 4 in step 3, your optimal lag for the JC test would be 3. </w:t>
      </w:r>
      <w:r w:rsidR="00660AF4" w:rsidRPr="00660AF4">
        <w:rPr>
          <w:rFonts w:ascii="Arial" w:hAnsi="Arial" w:cs="Arial"/>
          <w:sz w:val="18"/>
          <w:szCs w:val="18"/>
        </w:rPr>
        <w:br/>
      </w:r>
      <w:r w:rsidR="00660AF4" w:rsidRPr="00B938EF">
        <w:rPr>
          <w:i/>
        </w:rPr>
        <w:t xml:space="preserve"> </w:t>
      </w:r>
      <w:r w:rsidR="00B938EF" w:rsidRPr="00B938EF">
        <w:rPr>
          <w:i/>
        </w:rPr>
        <w:t xml:space="preserve">By </w:t>
      </w:r>
      <w:proofErr w:type="spellStart"/>
      <w:r w:rsidR="00B938EF" w:rsidRPr="00B938EF">
        <w:rPr>
          <w:i/>
        </w:rPr>
        <w:t>Vasanth</w:t>
      </w:r>
      <w:proofErr w:type="spellEnd"/>
      <w:r w:rsidR="00B938EF" w:rsidRPr="00B938EF">
        <w:rPr>
          <w:i/>
        </w:rPr>
        <w:t xml:space="preserve"> </w:t>
      </w:r>
      <w:proofErr w:type="spellStart"/>
      <w:r w:rsidR="00B938EF" w:rsidRPr="00B938EF">
        <w:rPr>
          <w:i/>
        </w:rPr>
        <w:t>Naik</w:t>
      </w:r>
      <w:proofErr w:type="spellEnd"/>
      <w:r w:rsidR="00B938EF" w:rsidRPr="00B938EF">
        <w:rPr>
          <w:i/>
        </w:rPr>
        <w:t xml:space="preserve">- </w:t>
      </w:r>
      <w:r w:rsidR="00B938EF" w:rsidRPr="00B938EF">
        <w:t>email</w:t>
      </w:r>
      <w:r w:rsidR="00B938EF" w:rsidRPr="00B938EF">
        <w:rPr>
          <w:i/>
        </w:rPr>
        <w:t xml:space="preserve"> naikvasantha@gmail.com</w:t>
      </w:r>
    </w:p>
    <w:sectPr w:rsidR="00660AF4" w:rsidSect="00B938EF">
      <w:pgSz w:w="11906" w:h="16838"/>
      <w:pgMar w:top="81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660AF4"/>
    <w:rsid w:val="00103064"/>
    <w:rsid w:val="002B4E4E"/>
    <w:rsid w:val="00522F10"/>
    <w:rsid w:val="00594C29"/>
    <w:rsid w:val="005F35FB"/>
    <w:rsid w:val="00660AF4"/>
    <w:rsid w:val="00690744"/>
    <w:rsid w:val="006E5577"/>
    <w:rsid w:val="00B938EF"/>
    <w:rsid w:val="00D02081"/>
    <w:rsid w:val="00FD33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07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4134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6DD3B7AA-F545-4D97-BE2B-A972E16B5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2014-06-18T10:36:00Z</dcterms:created>
  <dcterms:modified xsi:type="dcterms:W3CDTF">2014-06-18T11:13:00Z</dcterms:modified>
</cp:coreProperties>
</file>